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1"/>
        </w:tabs>
        <w:spacing w:after="0" w:line="240" w:lineRule="auto"/>
        <w:ind w:left="-360" w:firstLine="0"/>
        <w:jc w:val="center"/>
        <w:rPr>
          <w:rFonts w:ascii="Kalam" w:cs="Kalam" w:eastAsia="Kalam" w:hAnsi="Kalam"/>
          <w:b w:val="1"/>
          <w:bCs w:val="1"/>
          <w:color w:val="38761d"/>
          <w:sz w:val="36"/>
          <w:szCs w:val="36"/>
        </w:rPr>
      </w:pPr>
      <w:r w:rsidDel="00000000" w:rsidR="00000000" w:rsidRPr="00000000">
        <w:rPr>
          <w:rFonts w:ascii="Kalam" w:cs="Kalam" w:eastAsia="Kalam" w:hAnsi="Kalam"/>
          <w:b w:val="1"/>
          <w:bCs w:val="1"/>
          <w:color w:val="38761d"/>
          <w:sz w:val="36"/>
          <w:szCs w:val="3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6217561</wp:posOffset>
            </wp:positionH>
            <wp:positionV relativeFrom="page">
              <wp:posOffset>111477</wp:posOffset>
            </wp:positionV>
            <wp:extent cx="1141896" cy="1141896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1896" cy="11418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Kalam" w:cs="Kalam" w:eastAsia="Kalam" w:hAnsi="Kalam"/>
          <w:b w:val="1"/>
          <w:bCs w:val="1"/>
          <w:color w:val="38761d"/>
          <w:sz w:val="36"/>
          <w:szCs w:val="36"/>
          <w:rtl w:val="0"/>
        </w:rPr>
        <w:t xml:space="preserve">Progress check at age two</w:t>
      </w:r>
    </w:p>
    <w:p w:rsidR="00000000" w:rsidDel="00000000" w:rsidP="00000000" w:rsidRDefault="00000000" w:rsidRPr="00000000" w14:paraId="00000002">
      <w:pPr>
        <w:spacing w:after="120" w:line="240" w:lineRule="auto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key person is central to the progress check and must be the person completing it.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Settings should take guidance from their local authority as to when the progress check at age two is completed; if no such guidance is provided, the progress check is completed when the child is between 26 and 30 months old. The child should be attending the setting for at least 1 term before the check is completed.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the timing of the child’s progress check is confirmed, parents are invited to discuss their child’s progress at a mutually convenient time.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line="240" w:lineRule="auto"/>
        <w:ind w:left="-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setting must seek to engage both parents and make allowance for parents who do not live with their child to be involved.</w:t>
      </w:r>
    </w:p>
    <w:p w:rsidR="00000000" w:rsidDel="00000000" w:rsidP="00000000" w:rsidRDefault="00000000" w:rsidRPr="00000000" w14:paraId="00000007">
      <w:pPr>
        <w:spacing w:after="0" w:line="240" w:lineRule="auto"/>
        <w:ind w:left="-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ind w:left="-36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Completing the progress check at age two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On-going observational assessment informs the progress check and must be referred 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Children’s contributions are included in the report. Staff must be ‘tuned in’ to the ways in which very young children, or those with speech or other developmental delay or disability, communicate/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Where any concerns about a child’s learning and development are raised these are discussed with the parents, the SENCo and the setting manager.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concerns arise about a child’s welfare, they must be addressed through 06 Safeguarding children, young people and vulnerable adults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20" w:line="240" w:lineRule="auto"/>
        <w:ind w:left="-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key person must be clear about the aims of the progress check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line="240" w:lineRule="auto"/>
        <w:ind w:left="-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review a child’s development in the three prime areas of the EYFS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240" w:lineRule="auto"/>
        <w:ind w:left="-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ensure that parents have a clear picture of their child’s development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line="240" w:lineRule="auto"/>
        <w:ind w:left="-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enable practitioners to understand the child’s needs and, with support from practitioners, enhance development at home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20" w:line="240" w:lineRule="auto"/>
        <w:ind w:left="-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note areas where a child is progressing well and identify any areas where progress is less than expected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120" w:line="240" w:lineRule="auto"/>
        <w:ind w:left="-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describe actions the provider intends to take to address any developmental concerns (working with other professionals as appropriate)</w:t>
      </w:r>
    </w:p>
    <w:p w:rsidR="00000000" w:rsidDel="00000000" w:rsidP="00000000" w:rsidRDefault="00000000" w:rsidRPr="00000000" w14:paraId="00000013">
      <w:pPr>
        <w:spacing w:after="120" w:line="240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3686"/>
          <w:tab w:val="left" w:leader="none" w:pos="5954"/>
          <w:tab w:val="right" w:leader="none" w:pos="7371"/>
          <w:tab w:val="right" w:leader="none" w:pos="9923"/>
        </w:tabs>
        <w:spacing w:after="0" w:line="240" w:lineRule="auto"/>
        <w:ind w:left="-360" w:firstLine="0"/>
        <w:rPr>
          <w:rFonts w:ascii="Kalam" w:cs="Kalam" w:eastAsia="Kalam" w:hAnsi="Kalam"/>
          <w:b w:val="1"/>
          <w:bCs w:val="1"/>
          <w:color w:val="38761d"/>
          <w:sz w:val="28"/>
          <w:szCs w:val="28"/>
        </w:rPr>
      </w:pPr>
      <w:r w:rsidDel="00000000" w:rsidR="00000000" w:rsidRPr="00000000">
        <w:rPr>
          <w:rFonts w:ascii="Kalam" w:cs="Kalam" w:eastAsia="Kalam" w:hAnsi="Kalam"/>
          <w:b w:val="1"/>
          <w:bCs w:val="1"/>
          <w:color w:val="38761d"/>
          <w:sz w:val="28"/>
          <w:szCs w:val="28"/>
          <w:rtl w:val="0"/>
        </w:rPr>
        <w:t xml:space="preserve">Reviewed: May 2026</w:t>
      </w:r>
    </w:p>
    <w:sectPr>
      <w:headerReference r:id="rId8" w:type="default"/>
      <w:headerReference r:id="rId9" w:type="even"/>
      <w:footerReference r:id="rId10" w:type="default"/>
      <w:footerReference r:id="rId11" w:type="first"/>
      <w:footerReference r:id="rId12" w:type="even"/>
      <w:pgSz w:h="16840" w:w="11910" w:orient="portrait"/>
      <w:pgMar w:bottom="567" w:top="567" w:left="1134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Kalam">
    <w:embedRegular w:fontKey="{00000000-0000-0000-0000-000000000000}" r:id="rId3" w:subsetted="0"/>
    <w:embedBold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513"/>
        <w:tab w:val="right" w:leader="none" w:pos="9026"/>
      </w:tabs>
      <w:spacing w:after="40" w:before="200" w:line="240" w:lineRule="auto"/>
      <w:jc w:val="center"/>
      <w:rPr>
        <w:rFonts w:ascii="Century Gothic" w:cs="Century Gothic" w:eastAsia="Century Gothic" w:hAnsi="Century Gothic"/>
        <w:color w:val="ff9900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ff9900"/>
        <w:sz w:val="16"/>
        <w:szCs w:val="16"/>
        <w:rtl w:val="0"/>
      </w:rPr>
      <w:t xml:space="preserve">01993 775940       littleoakpreschool@aol.com</w:t>
    </w:r>
  </w:p>
  <w:p w:rsidR="00000000" w:rsidDel="00000000" w:rsidP="00000000" w:rsidRDefault="00000000" w:rsidRPr="00000000" w14:paraId="00000019">
    <w:pPr>
      <w:tabs>
        <w:tab w:val="center" w:leader="none" w:pos="4513"/>
        <w:tab w:val="right" w:leader="none" w:pos="9026"/>
      </w:tabs>
      <w:spacing w:after="40" w:before="200" w:line="240" w:lineRule="auto"/>
      <w:jc w:val="center"/>
      <w:rPr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38761d"/>
        <w:sz w:val="16"/>
        <w:szCs w:val="16"/>
        <w:rtl w:val="0"/>
      </w:rPr>
      <w:t xml:space="preserve">Company No: 7326565 ∙ Charity No: 1137934  Little Oak Pre-school (Witney) Ltd ∙ 50A Holford Road ∙ Witney ∙ Oxon ∙ OX28 5NG ∙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left" w:leader="none" w:pos="851"/>
      </w:tabs>
      <w:spacing w:after="0" w:line="240" w:lineRule="auto"/>
      <w:rPr>
        <w:rFonts w:ascii="Calibri" w:cs="Calibri" w:eastAsia="Calibri" w:hAnsi="Calibri"/>
        <w:b w:val="1"/>
        <w:bCs w:val="1"/>
        <w:sz w:val="16"/>
        <w:szCs w:val="16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6"/>
        <w:szCs w:val="16"/>
        <w:rtl w:val="0"/>
      </w:rPr>
      <w:t xml:space="preserve">09.15 Progress check at age two </w:t>
    </w:r>
    <w:r w:rsidDel="00000000" w:rsidR="00000000" w:rsidRPr="00000000">
      <w:rPr>
        <w:sz w:val="16"/>
        <w:szCs w:val="16"/>
        <w:rtl w:val="0"/>
      </w:rPr>
      <w:t xml:space="preserve">– Oct 21     </w:t>
    </w:r>
    <w:r w:rsidDel="00000000" w:rsidR="00000000" w:rsidRPr="00000000">
      <w:rPr>
        <w:i w:val="1"/>
        <w:iCs w:val="1"/>
        <w:sz w:val="16"/>
        <w:szCs w:val="16"/>
        <w:rtl w:val="0"/>
      </w:rPr>
      <w:t xml:space="preserve">Policies &amp; Procedures for the EYFS 2021</w:t>
    </w:r>
    <w:r w:rsidDel="00000000" w:rsidR="00000000" w:rsidRPr="00000000">
      <w:rPr>
        <w:sz w:val="16"/>
        <w:szCs w:val="16"/>
        <w:rtl w:val="0"/>
      </w:rPr>
      <w:t xml:space="preserve"> (Early Years Alliance 2021)       REVIEWED 23/02/2023 13:37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Directors: Chris Putt ∙ Sue Potter ∙ Rosalind Hambidge     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Company No: 7326565 ∙ Charity No: 1137934 Little Oak Pre-school is the trading name of Little Oak Pre-school (Witney) Ltd</w:t>
    </w:r>
  </w:p>
  <w:p w:rsidR="00000000" w:rsidDel="00000000" w:rsidP="00000000" w:rsidRDefault="00000000" w:rsidRPr="00000000" w14:paraId="0000001D">
    <w:pPr>
      <w:spacing w:after="0" w:line="240" w:lineRule="auto"/>
      <w:jc w:val="center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Registered Office: Little Oak Pre-school (Witney) Ltd ∙ 50A Holford Road ∙ Witney ∙ Oxon ∙ OX28 5NG ∙ Registered in England &amp; Wales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17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Calibri" w:cs="Calibri" w:eastAsia="Calibri" w:hAnsi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</w:pPr>
    <w:rPr>
      <w:rFonts w:ascii="Cambria" w:cs="Cambria" w:eastAsia="Cambria" w:hAnsi="Cambria"/>
      <w:i w:val="1"/>
      <w:iCs w:val="1"/>
      <w:color w:val="243f60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Kalam-regular.ttf"/><Relationship Id="rId4" Type="http://schemas.openxmlformats.org/officeDocument/2006/relationships/font" Target="fonts/Kalam-bold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Uldcf6K/ulqTRRYAzCHoMkp1Q==">CgMxLjA4AHIhMWxtdjdZbEpnMWlvdVNjd1I5MnRwbTAwUl93XzlOZC1T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