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0D60E155" w:rsidR="00C25622" w:rsidRPr="004D7259" w:rsidRDefault="00A30B6C" w:rsidP="004D7259">
      <w:pPr>
        <w:pStyle w:val="Heading1"/>
        <w:tabs>
          <w:tab w:val="clear" w:pos="8030"/>
          <w:tab w:val="clear" w:pos="8640"/>
        </w:tabs>
        <w:spacing w:before="120" w:after="12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D7259">
        <w:rPr>
          <w:rFonts w:asciiTheme="minorHAnsi" w:hAnsiTheme="minorHAnsi" w:cstheme="minorHAnsi"/>
          <w:sz w:val="22"/>
          <w:szCs w:val="22"/>
        </w:rPr>
        <w:t>0</w:t>
      </w:r>
      <w:r w:rsidR="003E7EBD" w:rsidRPr="004D7259">
        <w:rPr>
          <w:rFonts w:asciiTheme="minorHAnsi" w:hAnsiTheme="minorHAnsi" w:cstheme="minorHAnsi"/>
          <w:sz w:val="22"/>
          <w:szCs w:val="22"/>
        </w:rPr>
        <w:t>1.1c</w:t>
      </w:r>
      <w:r w:rsidR="00F53977" w:rsidRPr="004D7259">
        <w:rPr>
          <w:rFonts w:asciiTheme="minorHAnsi" w:hAnsiTheme="minorHAnsi" w:cstheme="minorHAnsi"/>
          <w:sz w:val="22"/>
          <w:szCs w:val="22"/>
        </w:rPr>
        <w:t xml:space="preserve">  </w:t>
      </w:r>
      <w:r w:rsidR="00F40BD5" w:rsidRPr="004D7259">
        <w:rPr>
          <w:rFonts w:asciiTheme="minorHAnsi" w:hAnsiTheme="minorHAnsi" w:cstheme="minorHAnsi"/>
          <w:sz w:val="22"/>
          <w:szCs w:val="22"/>
        </w:rPr>
        <w:t>Prioritised place risk assessment form</w:t>
      </w:r>
    </w:p>
    <w:p w14:paraId="3ED0A6ED" w14:textId="308F2891" w:rsidR="003453D7" w:rsidRPr="00955B60" w:rsidRDefault="008A07E0" w:rsidP="00FE5F97">
      <w:pPr>
        <w:tabs>
          <w:tab w:val="left" w:pos="0"/>
          <w:tab w:val="center" w:pos="8030"/>
          <w:tab w:val="left" w:pos="8640"/>
        </w:tabs>
        <w:suppressAutoHyphens/>
        <w:spacing w:after="120"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955B60">
        <w:rPr>
          <w:rFonts w:asciiTheme="minorHAnsi" w:hAnsiTheme="minorHAnsi" w:cstheme="minorHAnsi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will require their existing risk assessment to be updated.</w:t>
      </w:r>
      <w:r w:rsidR="00FF757A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5B60">
        <w:rPr>
          <w:rFonts w:asciiTheme="minorHAnsi" w:hAnsiTheme="minorHAnsi" w:cstheme="minorHAnsi"/>
          <w:spacing w:val="-3"/>
          <w:sz w:val="22"/>
          <w:szCs w:val="22"/>
        </w:rPr>
        <w:t>Th</w:t>
      </w:r>
      <w:r w:rsidR="00FF757A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e list of examples </w:t>
      </w:r>
      <w:r w:rsidR="00CB3582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given here </w:t>
      </w:r>
      <w:r w:rsidR="00FF757A" w:rsidRPr="00955B60">
        <w:rPr>
          <w:rFonts w:asciiTheme="minorHAnsi" w:hAnsiTheme="minorHAnsi" w:cstheme="minorHAnsi"/>
          <w:spacing w:val="-3"/>
          <w:sz w:val="22"/>
          <w:szCs w:val="22"/>
        </w:rPr>
        <w:t>is n</w:t>
      </w:r>
      <w:r w:rsidR="00CB3582" w:rsidRPr="00955B60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FF757A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t exhaustive </w:t>
      </w:r>
      <w:r w:rsidR="00CB3582" w:rsidRPr="00955B60">
        <w:rPr>
          <w:rFonts w:asciiTheme="minorHAnsi" w:hAnsiTheme="minorHAnsi" w:cstheme="minorHAnsi"/>
          <w:spacing w:val="-3"/>
          <w:sz w:val="22"/>
          <w:szCs w:val="22"/>
        </w:rPr>
        <w:t>and should be added to with any specific considerations.</w:t>
      </w:r>
      <w:r w:rsidR="005E31E1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Additions and amendments </w:t>
      </w:r>
      <w:r w:rsidR="000A792D" w:rsidRPr="00955B60">
        <w:rPr>
          <w:rFonts w:asciiTheme="minorHAnsi" w:hAnsiTheme="minorHAnsi" w:cstheme="minorHAnsi"/>
          <w:spacing w:val="-3"/>
          <w:sz w:val="22"/>
          <w:szCs w:val="22"/>
        </w:rPr>
        <w:t>should be</w:t>
      </w:r>
      <w:r w:rsidR="005E31E1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added to this form and a new form </w:t>
      </w:r>
      <w:r w:rsidR="00906121" w:rsidRPr="00955B60">
        <w:rPr>
          <w:rFonts w:asciiTheme="minorHAnsi" w:hAnsiTheme="minorHAnsi" w:cstheme="minorHAnsi"/>
          <w:spacing w:val="-3"/>
          <w:sz w:val="22"/>
          <w:szCs w:val="22"/>
        </w:rPr>
        <w:t>completed and attached to this original form</w:t>
      </w:r>
      <w:r w:rsidR="000A792D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as required. A </w:t>
      </w:r>
      <w:r w:rsidR="00280C80" w:rsidRPr="00955B60">
        <w:rPr>
          <w:rFonts w:asciiTheme="minorHAnsi" w:hAnsiTheme="minorHAnsi" w:cstheme="minorHAnsi"/>
          <w:spacing w:val="-3"/>
          <w:sz w:val="22"/>
          <w:szCs w:val="22"/>
        </w:rPr>
        <w:t>separate</w:t>
      </w:r>
      <w:r w:rsidR="000A792D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955B60">
        <w:rPr>
          <w:rFonts w:asciiTheme="minorHAnsi" w:hAnsiTheme="minorHAnsi" w:cstheme="minorHAnsi"/>
          <w:spacing w:val="-3"/>
          <w:sz w:val="22"/>
          <w:szCs w:val="22"/>
        </w:rPr>
        <w:t>groups</w:t>
      </w:r>
      <w:proofErr w:type="gramEnd"/>
      <w:r w:rsidR="000A792D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and specific areas.</w:t>
      </w:r>
      <w:r w:rsidR="003453D7" w:rsidRPr="00955B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3ED0A6EE" w14:textId="6C9DAD9A" w:rsidR="003453D7" w:rsidRPr="00955B60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55B60">
        <w:rPr>
          <w:rFonts w:asciiTheme="minorHAnsi" w:hAnsiTheme="minorHAnsi" w:cstheme="minorHAnsi"/>
          <w:b/>
          <w:spacing w:val="-3"/>
          <w:sz w:val="22"/>
          <w:szCs w:val="22"/>
        </w:rPr>
        <w:t>Room/area/group of children</w:t>
      </w:r>
      <w:r w:rsidR="004E74FA" w:rsidRPr="00955B6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955B60">
        <w:rPr>
          <w:rFonts w:asciiTheme="minorHAnsi" w:hAnsiTheme="minorHAnsi" w:cstheme="minorHAnsi"/>
          <w:b/>
          <w:bCs/>
          <w:spacing w:val="-3"/>
          <w:sz w:val="22"/>
          <w:szCs w:val="22"/>
        </w:rPr>
        <w:t>referred to in this risk assessmen</w:t>
      </w:r>
      <w:r w:rsidR="009D6622" w:rsidRPr="00955B60">
        <w:rPr>
          <w:rFonts w:asciiTheme="minorHAnsi" w:hAnsiTheme="minorHAnsi" w:cstheme="minorHAnsi"/>
          <w:b/>
          <w:bCs/>
          <w:spacing w:val="-3"/>
          <w:sz w:val="22"/>
          <w:szCs w:val="22"/>
        </w:rPr>
        <w:t>t:</w:t>
      </w:r>
      <w:r w:rsidR="009D6622" w:rsidRPr="00955B60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="003453D7" w:rsidRPr="00955B6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9D6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3453D7" w:rsidRPr="00955B60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8F7C9F" w:rsidRPr="00955B60">
        <w:rPr>
          <w:rFonts w:asciiTheme="minorHAnsi" w:hAnsiTheme="minorHAnsi" w:cstheme="minorHAnsi"/>
          <w:b/>
          <w:spacing w:val="-3"/>
          <w:sz w:val="22"/>
          <w:szCs w:val="22"/>
        </w:rPr>
        <w:t>Assessment carried out by</w:t>
      </w:r>
      <w:r w:rsidR="009D6622" w:rsidRPr="00955B60">
        <w:rPr>
          <w:rFonts w:asciiTheme="minorHAnsi" w:hAnsiTheme="minorHAnsi" w:cstheme="minorHAnsi"/>
          <w:spacing w:val="-3"/>
          <w:sz w:val="22"/>
          <w:szCs w:val="22"/>
        </w:rPr>
        <w:t>:</w:t>
      </w:r>
      <w:r w:rsidR="009D6622" w:rsidRPr="00955B60">
        <w:rPr>
          <w:rFonts w:asciiTheme="minorHAnsi" w:hAnsiTheme="minorHAnsi" w:cstheme="minorHAnsi"/>
          <w:spacing w:val="-3"/>
          <w:sz w:val="22"/>
          <w:szCs w:val="22"/>
        </w:rPr>
        <w:tab/>
      </w:r>
    </w:p>
    <w:p w14:paraId="3ED0A6F1" w14:textId="66EA3BE9" w:rsidR="00AD07D8" w:rsidRPr="00955B60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955B60">
        <w:rPr>
          <w:rFonts w:asciiTheme="minorHAnsi" w:hAnsiTheme="minorHAnsi" w:cstheme="minorHAnsi"/>
          <w:b/>
          <w:spacing w:val="-3"/>
          <w:sz w:val="22"/>
          <w:szCs w:val="22"/>
        </w:rPr>
        <w:t>A</w:t>
      </w:r>
      <w:r w:rsidR="00C25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>ssessment date</w:t>
      </w:r>
      <w:r w:rsidR="009D6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  <w:r w:rsidR="009D6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9D6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ab/>
        <w:t>Setting m</w:t>
      </w:r>
      <w:r w:rsidRPr="00955B60">
        <w:rPr>
          <w:rFonts w:asciiTheme="minorHAnsi" w:hAnsiTheme="minorHAnsi" w:cstheme="minorHAnsi"/>
          <w:b/>
          <w:spacing w:val="-3"/>
          <w:sz w:val="22"/>
          <w:szCs w:val="22"/>
        </w:rPr>
        <w:t>anager’s signature</w:t>
      </w:r>
      <w:r w:rsidR="009D6622" w:rsidRPr="00955B60">
        <w:rPr>
          <w:rFonts w:asciiTheme="minorHAnsi" w:hAnsiTheme="minorHAnsi" w:cstheme="minorHAnsi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958"/>
        <w:gridCol w:w="2690"/>
        <w:gridCol w:w="1363"/>
        <w:gridCol w:w="1373"/>
        <w:gridCol w:w="1871"/>
        <w:gridCol w:w="1994"/>
        <w:gridCol w:w="1283"/>
      </w:tblGrid>
      <w:tr w:rsidR="00E97706" w:rsidRPr="00955B60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What </w:t>
            </w:r>
            <w:r w:rsidR="00CB3582"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are the risks you have identified</w:t>
            </w:r>
            <w:r w:rsidR="000A792D"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(</w:t>
            </w:r>
            <w:proofErr w:type="gramStart"/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worst</w:t>
            </w:r>
            <w:proofErr w:type="gramEnd"/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What controls </w:t>
            </w:r>
            <w:r w:rsidR="000A792D"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55B60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L</w:t>
            </w:r>
            <w:r w:rsidR="00B367FC" w:rsidRPr="00955B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55B60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55B60" w14:paraId="3ED0A73E" w14:textId="77777777" w:rsidTr="00FB7C77">
        <w:tc>
          <w:tcPr>
            <w:tcW w:w="928" w:type="pct"/>
          </w:tcPr>
          <w:p w14:paraId="3ED0A703" w14:textId="77777777" w:rsidR="00B367FC" w:rsidRPr="00955B60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Examples</w:t>
            </w:r>
          </w:p>
          <w:p w14:paraId="3ED0A70C" w14:textId="62986079" w:rsidR="00CB3582" w:rsidRPr="00955B60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Maintaining adequate ratios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0A792D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Working with m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ixed age groups</w:t>
            </w:r>
            <w:r w:rsidR="000A792D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in one area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Staff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shortages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0A792D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Child becomes ill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0A792D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Practitioner becomes ill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0A792D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Maintaining allergy information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Providing meals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Children’s emotional well-being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;</w:t>
            </w:r>
            <w:r w:rsidR="00DB0C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="00DB0C4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sruption of key person system</w:t>
            </w:r>
          </w:p>
        </w:tc>
        <w:tc>
          <w:tcPr>
            <w:tcW w:w="636" w:type="pct"/>
          </w:tcPr>
          <w:p w14:paraId="3ED0A70D" w14:textId="77777777" w:rsidR="00B367FC" w:rsidRPr="00955B60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Examples</w:t>
            </w:r>
          </w:p>
          <w:p w14:paraId="3ED0A70F" w14:textId="7F05303A" w:rsidR="00B367FC" w:rsidRPr="00955B60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Staff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Children</w:t>
            </w:r>
          </w:p>
          <w:p w14:paraId="3ED0A714" w14:textId="5881E395" w:rsidR="00B367FC" w:rsidRPr="00955B60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Student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s;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Volunteers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Children with additional needs</w:t>
            </w:r>
            <w:r w:rsidR="00BF16F9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55B60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 xml:space="preserve">Choose one option </w:t>
            </w:r>
          </w:p>
          <w:p w14:paraId="3ED0A71B" w14:textId="0A02BEA6" w:rsidR="000A792D" w:rsidRPr="00955B60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proofErr w:type="gramStart"/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Death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;</w:t>
            </w:r>
            <w:proofErr w:type="gramEnd"/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Major Injury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55B60">
              <w:rPr>
                <w:rFonts w:asciiTheme="minorHAnsi" w:hAnsiTheme="minorHAnsi" w:cstheme="minorHAnsi"/>
                <w:sz w:val="22"/>
                <w:szCs w:val="22"/>
              </w:rPr>
              <w:t>(Hospital/A&amp;E/GP treatment required)</w:t>
            </w:r>
            <w:r w:rsidR="00E97706" w:rsidRPr="00955B6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Minor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Injury or Illness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(First-aid  required)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Superficial Injury or Discomfort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(No first-aid)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0A792D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55B60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Choose From</w:t>
            </w:r>
          </w:p>
          <w:p w14:paraId="3ED0A720" w14:textId="121CC408" w:rsidR="00B367FC" w:rsidRPr="00955B60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 xml:space="preserve">Very 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li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kely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Likely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55B60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Choose From</w:t>
            </w:r>
          </w:p>
          <w:p w14:paraId="3ED0A726" w14:textId="23F95B67" w:rsidR="00B367FC" w:rsidRPr="00955B60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High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Medium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Low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55B60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Examples</w:t>
            </w:r>
          </w:p>
          <w:p w14:paraId="3ED0A72E" w14:textId="6381EE3E" w:rsidR="000A792D" w:rsidRPr="00955B60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Additional </w:t>
            </w:r>
            <w:r w:rsidR="00B367FC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procedures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="00B367FC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Personal </w:t>
            </w:r>
            <w:r w:rsidR="00B367FC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Protective Equipment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Closing off unused rooms/areas in setting</w:t>
            </w:r>
            <w:r w:rsidR="00E97706"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; </w:t>
            </w:r>
            <w:r w:rsidR="00280C80" w:rsidRPr="00955B6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55B60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Examples</w:t>
            </w:r>
          </w:p>
          <w:p w14:paraId="3ED0A737" w14:textId="2ED828F2" w:rsidR="00B367FC" w:rsidRPr="00955B60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Increased Supervision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Changes to 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existing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lastRenderedPageBreak/>
              <w:t>procedure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Local </w:t>
            </w:r>
            <w:r w:rsidR="00280C80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Authority guidance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Personal Protective Equipment</w:t>
            </w:r>
            <w:r w:rsidR="00E97706"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55B60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 xml:space="preserve">Choose </w:t>
            </w:r>
          </w:p>
          <w:p w14:paraId="3ED0A739" w14:textId="77777777" w:rsidR="00B367FC" w:rsidRPr="00955B60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From</w:t>
            </w:r>
          </w:p>
          <w:p w14:paraId="3ED0A73D" w14:textId="76B9A700" w:rsidR="00B367FC" w:rsidRPr="00955B60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lastRenderedPageBreak/>
              <w:t>Very Likely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Likely</w:t>
            </w:r>
            <w:r w:rsidR="00E97706"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; </w:t>
            </w:r>
            <w:r w:rsidRPr="00955B6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Remote</w:t>
            </w:r>
          </w:p>
        </w:tc>
      </w:tr>
      <w:tr w:rsidR="00E97706" w:rsidRPr="00955B60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955B60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955B60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55B60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955B60" w14:paraId="51E3792F" w14:textId="77777777" w:rsidTr="00FB7C77">
        <w:tc>
          <w:tcPr>
            <w:tcW w:w="928" w:type="pct"/>
          </w:tcPr>
          <w:p w14:paraId="7DCC9FC2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0881FC6" w14:textId="6A41EA76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79451C4E" w14:textId="77777777" w:rsidTr="00FB7C77">
        <w:tc>
          <w:tcPr>
            <w:tcW w:w="928" w:type="pct"/>
          </w:tcPr>
          <w:p w14:paraId="11F066B2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3F3B135" w14:textId="41270B7C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4BFB65DC" w14:textId="77777777" w:rsidTr="00FB7C77">
        <w:tc>
          <w:tcPr>
            <w:tcW w:w="928" w:type="pct"/>
          </w:tcPr>
          <w:p w14:paraId="18C00489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F58A03D" w14:textId="36954D3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7E5E8038" w14:textId="77777777" w:rsidTr="00FB7C77">
        <w:tc>
          <w:tcPr>
            <w:tcW w:w="928" w:type="pct"/>
          </w:tcPr>
          <w:p w14:paraId="6011134B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DB829FD" w14:textId="32BEE2D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2F71CE71" w14:textId="77777777" w:rsidTr="00FB7C77">
        <w:tc>
          <w:tcPr>
            <w:tcW w:w="928" w:type="pct"/>
          </w:tcPr>
          <w:p w14:paraId="0049BFCF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CF2A85E" w14:textId="2E975FFA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42441168" w14:textId="77777777" w:rsidTr="00FB7C77">
        <w:tc>
          <w:tcPr>
            <w:tcW w:w="928" w:type="pct"/>
          </w:tcPr>
          <w:p w14:paraId="6296017D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A5BC118" w14:textId="61F72D69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E97706" w:rsidRPr="00955B60" w14:paraId="489FA1EB" w14:textId="77777777" w:rsidTr="00FB7C77">
        <w:tc>
          <w:tcPr>
            <w:tcW w:w="928" w:type="pct"/>
          </w:tcPr>
          <w:p w14:paraId="58958501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011E311" w14:textId="039DD232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955B60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561E56DA" w14:textId="5DAEE7F7" w:rsidR="004E0FA0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955B60">
        <w:rPr>
          <w:rFonts w:asciiTheme="minorHAnsi" w:hAnsiTheme="minorHAnsi" w:cstheme="minorHAnsi"/>
          <w:b/>
          <w:spacing w:val="-3"/>
          <w:sz w:val="22"/>
          <w:szCs w:val="22"/>
        </w:rPr>
        <w:t>I</w:t>
      </w:r>
      <w:r w:rsidR="00906121" w:rsidRPr="00955B60">
        <w:rPr>
          <w:rFonts w:asciiTheme="minorHAnsi" w:hAnsiTheme="minorHAnsi" w:cstheme="minorHAnsi"/>
          <w:b/>
          <w:spacing w:val="-3"/>
          <w:sz w:val="22"/>
          <w:szCs w:val="22"/>
        </w:rPr>
        <w:t>f</w:t>
      </w:r>
      <w:r w:rsidR="002007A0" w:rsidRPr="00955B60">
        <w:rPr>
          <w:rFonts w:asciiTheme="minorHAnsi" w:hAnsiTheme="minorHAnsi" w:cstheme="minorHAnsi"/>
          <w:b/>
          <w:spacing w:val="-3"/>
          <w:sz w:val="22"/>
          <w:szCs w:val="22"/>
        </w:rPr>
        <w:t>,</w:t>
      </w:r>
      <w:r w:rsidR="00906121" w:rsidRPr="00955B6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following risk assessment and control measures</w:t>
      </w:r>
      <w:r w:rsidR="002007A0" w:rsidRPr="00955B60">
        <w:rPr>
          <w:rFonts w:asciiTheme="minorHAnsi" w:hAnsiTheme="minorHAnsi" w:cstheme="minorHAnsi"/>
          <w:b/>
          <w:spacing w:val="-3"/>
          <w:sz w:val="22"/>
          <w:szCs w:val="22"/>
        </w:rPr>
        <w:t>,</w:t>
      </w:r>
      <w:r w:rsidR="00906121" w:rsidRPr="00955B6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955B60">
        <w:rPr>
          <w:rFonts w:asciiTheme="minorHAnsi" w:hAnsiTheme="minorHAnsi" w:cstheme="minorHAnsi"/>
          <w:b/>
          <w:spacing w:val="-3"/>
          <w:sz w:val="22"/>
          <w:szCs w:val="22"/>
        </w:rPr>
        <w:t>high</w:t>
      </w:r>
      <w:proofErr w:type="gramEnd"/>
      <w:r w:rsidR="00906121" w:rsidRPr="00955B6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and the risk of harm remains very likely </w:t>
      </w:r>
      <w:r w:rsidR="00280C80" w:rsidRPr="00955B60">
        <w:rPr>
          <w:rFonts w:asciiTheme="minorHAnsi" w:hAnsiTheme="minorHAnsi" w:cstheme="minorHAnsi"/>
          <w:b/>
          <w:spacing w:val="-3"/>
          <w:sz w:val="22"/>
          <w:szCs w:val="22"/>
        </w:rPr>
        <w:t>then the place should not be offered</w:t>
      </w:r>
    </w:p>
    <w:p w14:paraId="6CC41DFD" w14:textId="77777777" w:rsidR="004E0FA0" w:rsidRDefault="004E0FA0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ACA3B20" w14:textId="77777777" w:rsidR="0005275E" w:rsidRDefault="0005275E" w:rsidP="0005275E">
      <w:pPr>
        <w:spacing w:before="100" w:beforeAutospacing="1"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B4B2686" w14:textId="77777777" w:rsidR="0005275E" w:rsidRPr="008632B5" w:rsidRDefault="0005275E" w:rsidP="0005275E">
      <w:pPr>
        <w:spacing w:before="100" w:beforeAutospacing="1" w:after="120"/>
        <w:rPr>
          <w:rFonts w:asciiTheme="minorHAnsi" w:hAnsiTheme="minorHAnsi" w:cstheme="minorHAnsi"/>
          <w:color w:val="0000FF"/>
          <w:sz w:val="22"/>
          <w:szCs w:val="22"/>
        </w:rPr>
      </w:pPr>
      <w:r w:rsidRPr="008632B5"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2D0C47A0" wp14:editId="4B249D2A">
            <wp:extent cx="1615440" cy="496570"/>
            <wp:effectExtent l="0" t="0" r="381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ABBC" w14:textId="77777777" w:rsidR="0005275E" w:rsidRPr="008632B5" w:rsidRDefault="0005275E" w:rsidP="0005275E">
      <w:p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8632B5">
        <w:rPr>
          <w:rFonts w:asciiTheme="minorHAnsi" w:hAnsiTheme="minorHAnsi" w:cstheme="minorHAnsi"/>
          <w:sz w:val="22"/>
          <w:szCs w:val="22"/>
        </w:rPr>
        <w:t>Rosalind Hambidge (Director)</w:t>
      </w:r>
      <w:r w:rsidRPr="008632B5">
        <w:rPr>
          <w:rFonts w:asciiTheme="minorHAnsi" w:hAnsiTheme="minorHAnsi" w:cstheme="minorHAnsi"/>
          <w:sz w:val="22"/>
          <w:szCs w:val="22"/>
        </w:rPr>
        <w:tab/>
        <w:t>Date: 20/01/2023</w:t>
      </w:r>
    </w:p>
    <w:p w14:paraId="39F628F5" w14:textId="77777777" w:rsidR="0005275E" w:rsidRPr="008632B5" w:rsidRDefault="0005275E" w:rsidP="0005275E">
      <w:pPr>
        <w:spacing w:before="240" w:beforeAutospacing="1" w:after="120"/>
        <w:rPr>
          <w:rFonts w:asciiTheme="minorHAnsi" w:hAnsiTheme="minorHAnsi" w:cstheme="minorHAnsi"/>
          <w:sz w:val="22"/>
          <w:szCs w:val="22"/>
        </w:rPr>
      </w:pPr>
      <w:r w:rsidRPr="008632B5">
        <w:rPr>
          <w:rFonts w:asciiTheme="minorHAnsi" w:hAnsiTheme="minorHAnsi" w:cstheme="minorHAnsi"/>
          <w:sz w:val="22"/>
          <w:szCs w:val="22"/>
        </w:rPr>
        <w:t>Signed on behalf of Little Oak Pre-school (Witney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8632B5">
        <w:rPr>
          <w:rFonts w:asciiTheme="minorHAnsi" w:hAnsiTheme="minorHAnsi" w:cstheme="minorHAnsi"/>
          <w:sz w:val="22"/>
          <w:szCs w:val="22"/>
        </w:rPr>
        <w:t xml:space="preserve"> Ltd</w:t>
      </w:r>
    </w:p>
    <w:p w14:paraId="58A82B38" w14:textId="795D67B3" w:rsidR="004E0FA0" w:rsidRPr="0005275E" w:rsidRDefault="0005275E" w:rsidP="0005275E">
      <w:pPr>
        <w:spacing w:before="100" w:beforeAutospacing="1" w:after="120"/>
        <w:rPr>
          <w:rFonts w:asciiTheme="minorHAnsi" w:hAnsiTheme="minorHAnsi" w:cstheme="minorHAnsi"/>
          <w:sz w:val="22"/>
          <w:szCs w:val="22"/>
        </w:rPr>
      </w:pPr>
      <w:r w:rsidRPr="008632B5">
        <w:rPr>
          <w:rFonts w:asciiTheme="minorHAnsi" w:hAnsiTheme="minorHAnsi" w:cstheme="minorHAnsi"/>
          <w:sz w:val="22"/>
          <w:szCs w:val="22"/>
        </w:rPr>
        <w:t xml:space="preserve">Policy </w:t>
      </w:r>
      <w:proofErr w:type="gramStart"/>
      <w:r w:rsidRPr="008632B5">
        <w:rPr>
          <w:rFonts w:asciiTheme="minorHAnsi" w:hAnsiTheme="minorHAnsi" w:cstheme="minorHAnsi"/>
          <w:sz w:val="22"/>
          <w:szCs w:val="22"/>
        </w:rPr>
        <w:t>review</w:t>
      </w:r>
      <w:proofErr w:type="gramEnd"/>
      <w:r w:rsidRPr="008632B5">
        <w:rPr>
          <w:rFonts w:asciiTheme="minorHAnsi" w:hAnsiTheme="minorHAnsi" w:cstheme="minorHAnsi"/>
          <w:sz w:val="22"/>
          <w:szCs w:val="22"/>
        </w:rPr>
        <w:t xml:space="preserve"> due: September 2023</w:t>
      </w:r>
    </w:p>
    <w:sectPr w:rsidR="004E0FA0" w:rsidRPr="0005275E" w:rsidSect="00CA6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6" w:orient="landscape" w:code="9"/>
      <w:pgMar w:top="720" w:right="720" w:bottom="720" w:left="720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FDFD" w14:textId="77777777" w:rsidR="00E40D51" w:rsidRDefault="00E40D51">
      <w:r>
        <w:separator/>
      </w:r>
    </w:p>
  </w:endnote>
  <w:endnote w:type="continuationSeparator" w:id="0">
    <w:p w14:paraId="10708057" w14:textId="77777777" w:rsidR="00E40D51" w:rsidRDefault="00E4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6E1" w14:textId="77777777" w:rsidR="0021228F" w:rsidRDefault="00212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8317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88A49DC" w14:textId="2BDF470D" w:rsidR="004E0FA0" w:rsidRDefault="004E0FA0">
        <w:pPr>
          <w:pStyle w:val="Footer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4E0FA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E0FA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4E0FA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4E0FA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4E0FA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5A0B6B96" w14:textId="77777777" w:rsidR="004E0FA0" w:rsidRPr="004E0FA0" w:rsidRDefault="004E0FA0" w:rsidP="004E0FA0">
    <w:pPr>
      <w:pStyle w:val="Heading1"/>
      <w:tabs>
        <w:tab w:val="clear" w:pos="8030"/>
        <w:tab w:val="clear" w:pos="8640"/>
      </w:tabs>
      <w:spacing w:before="120" w:after="120" w:line="360" w:lineRule="auto"/>
      <w:jc w:val="left"/>
      <w:rPr>
        <w:rFonts w:asciiTheme="minorHAnsi" w:hAnsiTheme="minorHAnsi" w:cstheme="minorHAnsi"/>
        <w:sz w:val="16"/>
        <w:szCs w:val="16"/>
      </w:rPr>
    </w:pPr>
    <w:r w:rsidRPr="004E0FA0">
      <w:rPr>
        <w:rFonts w:asciiTheme="minorHAnsi" w:hAnsiTheme="minorHAnsi" w:cstheme="minorHAnsi"/>
        <w:sz w:val="16"/>
        <w:szCs w:val="16"/>
      </w:rPr>
      <w:t>01.1c  Prioritised place risk assessment form</w:t>
    </w:r>
  </w:p>
  <w:p w14:paraId="0B839B2D" w14:textId="77777777" w:rsidR="004E0FA0" w:rsidRPr="004E0FA0" w:rsidRDefault="004E0FA0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FCC" w14:textId="70293A5A" w:rsidR="00C553FC" w:rsidRPr="008738A3" w:rsidRDefault="00B149C1" w:rsidP="008738A3">
    <w:pPr>
      <w:pStyle w:val="Heading1"/>
      <w:tabs>
        <w:tab w:val="clear" w:pos="8030"/>
        <w:tab w:val="clear" w:pos="8640"/>
      </w:tabs>
      <w:jc w:val="left"/>
      <w:rPr>
        <w:rFonts w:asciiTheme="minorHAnsi" w:hAnsiTheme="minorHAnsi" w:cstheme="minorHAnsi"/>
        <w:b w:val="0"/>
        <w:bCs/>
        <w:sz w:val="16"/>
        <w:szCs w:val="16"/>
      </w:rPr>
    </w:pPr>
    <w:r w:rsidRPr="00B149C1">
      <w:rPr>
        <w:rFonts w:asciiTheme="minorHAnsi" w:hAnsiTheme="minorHAnsi" w:cstheme="minorHAnsi"/>
        <w:sz w:val="16"/>
        <w:szCs w:val="16"/>
      </w:rPr>
      <w:t>0</w:t>
    </w:r>
    <w:r w:rsidR="00C553FC" w:rsidRPr="00B149C1">
      <w:rPr>
        <w:rFonts w:asciiTheme="minorHAnsi" w:hAnsiTheme="minorHAnsi" w:cstheme="minorHAnsi"/>
        <w:sz w:val="16"/>
        <w:szCs w:val="16"/>
      </w:rPr>
      <w:t>1.1c  Prioritised</w:t>
    </w:r>
    <w:r w:rsidR="00C553FC" w:rsidRPr="004E0FA0">
      <w:rPr>
        <w:rFonts w:asciiTheme="minorHAnsi" w:hAnsiTheme="minorHAnsi" w:cstheme="minorHAnsi"/>
        <w:sz w:val="16"/>
        <w:szCs w:val="16"/>
      </w:rPr>
      <w:t xml:space="preserve"> place risk assessment form</w:t>
    </w:r>
    <w:r w:rsidR="00C553FC" w:rsidRPr="008738A3">
      <w:rPr>
        <w:rFonts w:asciiTheme="minorHAnsi" w:hAnsiTheme="minorHAnsi" w:cstheme="minorHAnsi"/>
        <w:b w:val="0"/>
        <w:bCs/>
        <w:sz w:val="16"/>
        <w:szCs w:val="16"/>
      </w:rPr>
      <w:t xml:space="preserve"> </w:t>
    </w:r>
    <w:r w:rsidR="00C553FC" w:rsidRPr="008738A3">
      <w:rPr>
        <w:rFonts w:asciiTheme="minorHAnsi" w:hAnsiTheme="minorHAnsi" w:cstheme="minorHAnsi"/>
        <w:b w:val="0"/>
        <w:bCs/>
        <w:i/>
        <w:iCs/>
        <w:sz w:val="16"/>
        <w:szCs w:val="16"/>
      </w:rPr>
      <w:t>Policies &amp; Procedures for the EYS</w:t>
    </w:r>
    <w:r w:rsidR="008738A3" w:rsidRPr="008738A3">
      <w:rPr>
        <w:rFonts w:asciiTheme="minorHAnsi" w:hAnsiTheme="minorHAnsi" w:cstheme="minorHAnsi"/>
        <w:b w:val="0"/>
        <w:bCs/>
        <w:i/>
        <w:iCs/>
        <w:sz w:val="16"/>
        <w:szCs w:val="16"/>
      </w:rPr>
      <w:t xml:space="preserve"> 2021 (Early Years Alliance 2021)</w:t>
    </w:r>
    <w:r w:rsidR="008738A3" w:rsidRPr="008738A3">
      <w:rPr>
        <w:rFonts w:asciiTheme="minorHAnsi" w:hAnsiTheme="minorHAnsi" w:cstheme="minorHAnsi"/>
        <w:b w:val="0"/>
        <w:bCs/>
        <w:sz w:val="16"/>
        <w:szCs w:val="16"/>
      </w:rPr>
      <w:t xml:space="preserve"> </w:t>
    </w:r>
    <w:r w:rsidR="008738A3">
      <w:rPr>
        <w:rFonts w:asciiTheme="minorHAnsi" w:hAnsiTheme="minorHAnsi" w:cstheme="minorHAnsi"/>
        <w:b w:val="0"/>
        <w:bCs/>
        <w:sz w:val="16"/>
        <w:szCs w:val="16"/>
      </w:rPr>
      <w:t xml:space="preserve">      </w:t>
    </w:r>
    <w:r w:rsidR="008738A3" w:rsidRPr="008738A3">
      <w:rPr>
        <w:rFonts w:asciiTheme="minorHAnsi" w:hAnsiTheme="minorHAnsi" w:cstheme="minorHAnsi"/>
        <w:b w:val="0"/>
        <w:bCs/>
        <w:sz w:val="16"/>
        <w:szCs w:val="16"/>
      </w:rPr>
      <w:t xml:space="preserve">REVIEWED </w:t>
    </w:r>
    <w:r w:rsidR="0021228F">
      <w:rPr>
        <w:rFonts w:asciiTheme="minorHAnsi" w:hAnsiTheme="minorHAnsi" w:cstheme="minorHAnsi"/>
        <w:b w:val="0"/>
        <w:bCs/>
        <w:sz w:val="16"/>
        <w:szCs w:val="16"/>
      </w:rPr>
      <w:t xml:space="preserve">- </w:t>
    </w:r>
    <w:r w:rsidR="0021228F">
      <w:rPr>
        <w:rFonts w:asciiTheme="minorHAnsi" w:hAnsiTheme="minorHAnsi" w:cstheme="minorHAnsi"/>
        <w:b w:val="0"/>
        <w:bCs/>
        <w:sz w:val="16"/>
        <w:szCs w:val="16"/>
      </w:rPr>
      <w:fldChar w:fldCharType="begin"/>
    </w:r>
    <w:r w:rsidR="0021228F">
      <w:rPr>
        <w:rFonts w:asciiTheme="minorHAnsi" w:hAnsiTheme="minorHAnsi" w:cstheme="minorHAnsi"/>
        <w:b w:val="0"/>
        <w:bCs/>
        <w:sz w:val="16"/>
        <w:szCs w:val="16"/>
      </w:rPr>
      <w:instrText xml:space="preserve"> DATE \@ "dd/MM/yyyy HH:mm" </w:instrText>
    </w:r>
    <w:r w:rsidR="0021228F">
      <w:rPr>
        <w:rFonts w:asciiTheme="minorHAnsi" w:hAnsiTheme="minorHAnsi" w:cstheme="minorHAnsi"/>
        <w:b w:val="0"/>
        <w:bCs/>
        <w:sz w:val="16"/>
        <w:szCs w:val="16"/>
      </w:rPr>
      <w:fldChar w:fldCharType="separate"/>
    </w:r>
    <w:r w:rsidR="008C151C">
      <w:rPr>
        <w:rFonts w:asciiTheme="minorHAnsi" w:hAnsiTheme="minorHAnsi" w:cstheme="minorHAnsi"/>
        <w:b w:val="0"/>
        <w:bCs/>
        <w:noProof/>
        <w:sz w:val="16"/>
        <w:szCs w:val="16"/>
      </w:rPr>
      <w:t>26/01/2023 13:56</w:t>
    </w:r>
    <w:r w:rsidR="0021228F">
      <w:rPr>
        <w:rFonts w:asciiTheme="minorHAnsi" w:hAnsiTheme="minorHAnsi" w:cstheme="minorHAnsi"/>
        <w:b w:val="0"/>
        <w:bCs/>
        <w:sz w:val="16"/>
        <w:szCs w:val="16"/>
      </w:rPr>
      <w:fldChar w:fldCharType="end"/>
    </w:r>
  </w:p>
  <w:p w14:paraId="669DFC53" w14:textId="22E868AD" w:rsidR="00DB0C44" w:rsidRDefault="00DB0C44" w:rsidP="00DB0C44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Directors: Chris Putt ∙ Sue Potter ∙ Rosalind Hambidge ∙ Company No: 7326565 ∙ Charity No: 1137934</w:t>
    </w:r>
  </w:p>
  <w:p w14:paraId="11173605" w14:textId="60D9E9BA" w:rsidR="00DB0C44" w:rsidRPr="00DB0C44" w:rsidRDefault="00DB0C44" w:rsidP="00DB0C44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Little Oak Pre-school is the trading name of Little Oak Pre-school (Witney) Ltd ∙ 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B924" w14:textId="77777777" w:rsidR="00E40D51" w:rsidRDefault="00E40D51">
      <w:r>
        <w:separator/>
      </w:r>
    </w:p>
  </w:footnote>
  <w:footnote w:type="continuationSeparator" w:id="0">
    <w:p w14:paraId="4CF11EBB" w14:textId="77777777" w:rsidR="00E40D51" w:rsidRDefault="00E4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49D7" w14:textId="77777777" w:rsidR="0021228F" w:rsidRDefault="00212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E950" w14:textId="2AE77F44" w:rsidR="00CA6407" w:rsidRDefault="00CA6407">
    <w:pPr>
      <w:pStyle w:val="Header"/>
    </w:pPr>
  </w:p>
  <w:p w14:paraId="5695BFD1" w14:textId="77777777" w:rsidR="00CA6407" w:rsidRDefault="00CA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7EB5" w14:textId="45EC2BA1" w:rsidR="00CA6407" w:rsidRPr="00376305" w:rsidRDefault="00376305" w:rsidP="00376305">
    <w:pPr>
      <w:pStyle w:val="Header"/>
      <w:jc w:val="center"/>
    </w:pPr>
    <w:r>
      <w:rPr>
        <w:noProof/>
      </w:rPr>
      <w:drawing>
        <wp:inline distT="0" distB="0" distL="0" distR="0" wp14:anchorId="3E25C161" wp14:editId="0D146CCE">
          <wp:extent cx="5842000" cy="1559232"/>
          <wp:effectExtent l="0" t="0" r="6350" b="317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48" cy="156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916BCB"/>
    <w:multiLevelType w:val="hybridMultilevel"/>
    <w:tmpl w:val="1F38F23E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8768">
    <w:abstractNumId w:val="6"/>
  </w:num>
  <w:num w:numId="2" w16cid:durableId="1156648293">
    <w:abstractNumId w:val="3"/>
  </w:num>
  <w:num w:numId="3" w16cid:durableId="983199923">
    <w:abstractNumId w:val="0"/>
  </w:num>
  <w:num w:numId="4" w16cid:durableId="1972782312">
    <w:abstractNumId w:val="7"/>
  </w:num>
  <w:num w:numId="5" w16cid:durableId="1347169902">
    <w:abstractNumId w:val="1"/>
  </w:num>
  <w:num w:numId="6" w16cid:durableId="1685471545">
    <w:abstractNumId w:val="2"/>
  </w:num>
  <w:num w:numId="7" w16cid:durableId="1619409253">
    <w:abstractNumId w:val="4"/>
  </w:num>
  <w:num w:numId="8" w16cid:durableId="136232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5275E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1228F"/>
    <w:rsid w:val="00280C80"/>
    <w:rsid w:val="002932F4"/>
    <w:rsid w:val="002B64C3"/>
    <w:rsid w:val="002B6B46"/>
    <w:rsid w:val="002D3B96"/>
    <w:rsid w:val="002D481D"/>
    <w:rsid w:val="003453D7"/>
    <w:rsid w:val="00347DC9"/>
    <w:rsid w:val="00376305"/>
    <w:rsid w:val="00383011"/>
    <w:rsid w:val="003916B3"/>
    <w:rsid w:val="003E7EBD"/>
    <w:rsid w:val="003F44BB"/>
    <w:rsid w:val="00480D84"/>
    <w:rsid w:val="004C0B79"/>
    <w:rsid w:val="004C530A"/>
    <w:rsid w:val="004D7259"/>
    <w:rsid w:val="004E0FA0"/>
    <w:rsid w:val="004E74FA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738A3"/>
    <w:rsid w:val="008A07E0"/>
    <w:rsid w:val="008C151C"/>
    <w:rsid w:val="008D316C"/>
    <w:rsid w:val="008F7C9F"/>
    <w:rsid w:val="009004A1"/>
    <w:rsid w:val="00906121"/>
    <w:rsid w:val="00940145"/>
    <w:rsid w:val="00953E4E"/>
    <w:rsid w:val="00955B60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149C1"/>
    <w:rsid w:val="00B367FC"/>
    <w:rsid w:val="00B4343C"/>
    <w:rsid w:val="00B62BDE"/>
    <w:rsid w:val="00BF16F9"/>
    <w:rsid w:val="00C25622"/>
    <w:rsid w:val="00C4093D"/>
    <w:rsid w:val="00C54FC1"/>
    <w:rsid w:val="00C553FC"/>
    <w:rsid w:val="00C8196D"/>
    <w:rsid w:val="00C8745C"/>
    <w:rsid w:val="00CA6407"/>
    <w:rsid w:val="00CB3582"/>
    <w:rsid w:val="00CC1361"/>
    <w:rsid w:val="00CE58F0"/>
    <w:rsid w:val="00D175F7"/>
    <w:rsid w:val="00D3448C"/>
    <w:rsid w:val="00D468BB"/>
    <w:rsid w:val="00D7439F"/>
    <w:rsid w:val="00D760CB"/>
    <w:rsid w:val="00DB0C44"/>
    <w:rsid w:val="00DB6330"/>
    <w:rsid w:val="00E2213A"/>
    <w:rsid w:val="00E40D51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E5F9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0C44"/>
    <w:rPr>
      <w:rFonts w:ascii="CG Times" w:hAnsi="CG Times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C553FC"/>
    <w:rPr>
      <w:rFonts w:ascii="CG Times" w:hAnsi="CG Times"/>
      <w:b/>
      <w:spacing w:val="-3"/>
      <w:sz w:val="29"/>
      <w:lang w:eastAsia="en-US"/>
    </w:rPr>
  </w:style>
  <w:style w:type="character" w:styleId="Hyperlink">
    <w:name w:val="Hyperlink"/>
    <w:basedOn w:val="DefaultParagraphFont"/>
    <w:semiHidden/>
    <w:rsid w:val="00052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6F109-E3E7-47D0-BB20-471594760197}">
  <ds:schemaRefs>
    <ds:schemaRef ds:uri="http://purl.org/dc/terms/"/>
    <ds:schemaRef ds:uri="18c16896-6164-4c7e-9f7f-7b4744fe3800"/>
    <ds:schemaRef ds:uri="http://schemas.microsoft.com/office/2006/documentManagement/types"/>
    <ds:schemaRef ds:uri="477e5560-c3c0-4dd8-a228-29abf0df845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</Template>
  <TotalTime>12</TotalTime>
  <Pages>3</Pages>
  <Words>367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Rosalind Hambidge</cp:lastModifiedBy>
  <cp:revision>17</cp:revision>
  <cp:lastPrinted>2023-01-26T13:56:00Z</cp:lastPrinted>
  <dcterms:created xsi:type="dcterms:W3CDTF">2021-07-28T10:35:00Z</dcterms:created>
  <dcterms:modified xsi:type="dcterms:W3CDTF">2023-01-26T13:56:00Z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