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11BA" w14:textId="26F8337E" w:rsidR="002B3500" w:rsidRPr="00875B75" w:rsidRDefault="002B3500" w:rsidP="00177428">
      <w:pPr>
        <w:spacing w:after="0" w:line="240" w:lineRule="auto"/>
        <w:ind w:hanging="284"/>
        <w:rPr>
          <w:rFonts w:asciiTheme="minorHAnsi" w:hAnsiTheme="minorHAnsi" w:cstheme="minorHAnsi"/>
          <w:b/>
          <w:bCs/>
        </w:rPr>
      </w:pPr>
      <w:r w:rsidRPr="00875B75">
        <w:rPr>
          <w:rFonts w:asciiTheme="minorHAnsi" w:hAnsiTheme="minorHAnsi" w:cstheme="minorHAnsi"/>
          <w:b/>
          <w:bCs/>
        </w:rPr>
        <w:t>05</w:t>
      </w:r>
      <w:r w:rsidRPr="00875B75">
        <w:rPr>
          <w:rFonts w:asciiTheme="minorHAnsi" w:hAnsiTheme="minorHAnsi" w:cstheme="minorHAnsi"/>
          <w:b/>
          <w:bCs/>
        </w:rPr>
        <w:tab/>
        <w:t xml:space="preserve">Promoting inclusion, </w:t>
      </w:r>
      <w:proofErr w:type="gramStart"/>
      <w:r w:rsidRPr="00875B75">
        <w:rPr>
          <w:rFonts w:asciiTheme="minorHAnsi" w:hAnsiTheme="minorHAnsi" w:cstheme="minorHAnsi"/>
          <w:b/>
          <w:bCs/>
        </w:rPr>
        <w:t>equality</w:t>
      </w:r>
      <w:proofErr w:type="gramEnd"/>
      <w:r w:rsidRPr="00875B75">
        <w:rPr>
          <w:rFonts w:asciiTheme="minorHAnsi" w:hAnsiTheme="minorHAnsi" w:cstheme="minorHAnsi"/>
          <w:b/>
          <w:bCs/>
        </w:rPr>
        <w:t xml:space="preserve"> and valuing diversity policy</w:t>
      </w:r>
    </w:p>
    <w:p w14:paraId="1ADC398C" w14:textId="77777777" w:rsidR="009B1A50" w:rsidRPr="00875B75" w:rsidRDefault="009B1A50" w:rsidP="00177428">
      <w:pPr>
        <w:spacing w:after="0" w:line="240" w:lineRule="auto"/>
        <w:rPr>
          <w:rFonts w:asciiTheme="minorHAnsi" w:hAnsiTheme="minorHAnsi" w:cstheme="minorHAnsi"/>
          <w:b/>
        </w:rPr>
      </w:pPr>
    </w:p>
    <w:p w14:paraId="4F710BCC" w14:textId="77777777" w:rsidR="002B3500" w:rsidRPr="00875B75" w:rsidRDefault="002B3500" w:rsidP="00177428">
      <w:pPr>
        <w:pStyle w:val="Heading1"/>
        <w:spacing w:before="0" w:after="120"/>
        <w:rPr>
          <w:rFonts w:asciiTheme="minorHAnsi" w:hAnsiTheme="minorHAnsi" w:cstheme="minorHAnsi"/>
          <w:b w:val="0"/>
          <w:sz w:val="22"/>
          <w:szCs w:val="22"/>
        </w:rPr>
      </w:pPr>
      <w:r w:rsidRPr="00875B75">
        <w:rPr>
          <w:rFonts w:asciiTheme="minorHAnsi" w:hAnsiTheme="minorHAnsi" w:cstheme="minorHAnsi"/>
          <w:b w:val="0"/>
          <w:sz w:val="22"/>
          <w:szCs w:val="22"/>
        </w:rPr>
        <w:t xml:space="preserve">Alongside associated procedures in 05.1 Promoting inclusion, equality and diversity, this policy was adopted by </w:t>
      </w:r>
      <w:r w:rsidRPr="00875B75">
        <w:rPr>
          <w:rFonts w:asciiTheme="minorHAnsi" w:hAnsiTheme="minorHAnsi" w:cstheme="minorHAnsi"/>
          <w:b w:val="0"/>
          <w:i/>
          <w:iCs/>
          <w:sz w:val="22"/>
          <w:szCs w:val="22"/>
        </w:rPr>
        <w:t>Little Oak Pre-School (Witney) Limited</w:t>
      </w:r>
      <w:r w:rsidRPr="00875B75">
        <w:rPr>
          <w:rFonts w:asciiTheme="minorHAnsi" w:hAnsiTheme="minorHAnsi" w:cstheme="minorHAnsi"/>
          <w:b w:val="0"/>
          <w:sz w:val="22"/>
          <w:szCs w:val="22"/>
        </w:rPr>
        <w:t xml:space="preserve"> on </w:t>
      </w:r>
      <w:r w:rsidRPr="00875B75">
        <w:rPr>
          <w:rFonts w:asciiTheme="minorHAnsi" w:hAnsiTheme="minorHAnsi" w:cstheme="minorHAnsi"/>
          <w:b w:val="0"/>
          <w:i/>
          <w:sz w:val="22"/>
          <w:szCs w:val="22"/>
        </w:rPr>
        <w:t>28</w:t>
      </w:r>
      <w:r w:rsidRPr="00875B75">
        <w:rPr>
          <w:rFonts w:asciiTheme="minorHAnsi" w:hAnsiTheme="minorHAnsi" w:cstheme="minorHAnsi"/>
          <w:b w:val="0"/>
          <w:i/>
          <w:sz w:val="22"/>
          <w:szCs w:val="22"/>
          <w:vertAlign w:val="superscript"/>
        </w:rPr>
        <w:t>th</w:t>
      </w:r>
      <w:r w:rsidRPr="00875B75">
        <w:rPr>
          <w:rFonts w:asciiTheme="minorHAnsi" w:hAnsiTheme="minorHAnsi" w:cstheme="minorHAnsi"/>
          <w:b w:val="0"/>
          <w:i/>
          <w:sz w:val="22"/>
          <w:szCs w:val="22"/>
        </w:rPr>
        <w:t xml:space="preserve"> July 2021</w:t>
      </w:r>
      <w:r w:rsidRPr="00875B75">
        <w:rPr>
          <w:rFonts w:asciiTheme="minorHAnsi" w:hAnsiTheme="minorHAnsi" w:cstheme="minorHAnsi"/>
          <w:b w:val="0"/>
          <w:sz w:val="22"/>
          <w:szCs w:val="22"/>
        </w:rPr>
        <w:t>.</w:t>
      </w:r>
    </w:p>
    <w:p w14:paraId="3EDE7B48" w14:textId="6312108D" w:rsidR="002B3500" w:rsidRPr="00875B75" w:rsidRDefault="002B3500" w:rsidP="00177428">
      <w:pPr>
        <w:autoSpaceDE w:val="0"/>
        <w:autoSpaceDN w:val="0"/>
        <w:adjustRightInd w:val="0"/>
        <w:spacing w:after="0" w:line="240" w:lineRule="auto"/>
        <w:rPr>
          <w:rFonts w:asciiTheme="minorHAnsi" w:hAnsiTheme="minorHAnsi" w:cstheme="minorHAnsi"/>
          <w:bCs/>
        </w:rPr>
      </w:pPr>
      <w:r w:rsidRPr="00875B75">
        <w:rPr>
          <w:rFonts w:asciiTheme="minorHAnsi" w:hAnsiTheme="minorHAnsi" w:cstheme="minorHAnsi"/>
          <w:bCs/>
        </w:rPr>
        <w:t xml:space="preserve">All early </w:t>
      </w:r>
      <w:r w:rsidR="004343A8" w:rsidRPr="00875B75">
        <w:rPr>
          <w:rFonts w:asciiTheme="minorHAnsi" w:hAnsiTheme="minorHAnsi" w:cstheme="minorHAnsi"/>
          <w:bCs/>
        </w:rPr>
        <w:t>year’s</w:t>
      </w:r>
      <w:r w:rsidRPr="00875B75">
        <w:rPr>
          <w:rFonts w:asciiTheme="minorHAnsi" w:hAnsiTheme="minorHAnsi" w:cstheme="minorHAnsi"/>
          <w:bCs/>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875B75">
        <w:rPr>
          <w:rFonts w:asciiTheme="minorHAnsi" w:eastAsia="Calibri" w:hAnsiTheme="minorHAnsi" w:cstheme="minorHAnsi"/>
          <w:bCs/>
          <w:lang w:eastAsia="en-GB"/>
        </w:rPr>
        <w:t>or by failing to make a reasonable adjustment</w:t>
      </w:r>
      <w:r w:rsidRPr="00875B75">
        <w:rPr>
          <w:rFonts w:asciiTheme="minorHAnsi" w:hAnsiTheme="minorHAnsi" w:cstheme="minorHAnsi"/>
          <w:bCs/>
        </w:rPr>
        <w:t xml:space="preserve"> to </w:t>
      </w:r>
      <w:r w:rsidRPr="00875B75">
        <w:rPr>
          <w:rFonts w:asciiTheme="minorHAnsi" w:eastAsia="Calibri" w:hAnsiTheme="minorHAnsi" w:cstheme="minorHAnsi"/>
          <w:bCs/>
          <w:lang w:eastAsia="en-GB"/>
        </w:rPr>
        <w:t>any provision, criterion, or practice</w:t>
      </w:r>
      <w:r w:rsidRPr="00875B75">
        <w:rPr>
          <w:rFonts w:asciiTheme="minorHAnsi" w:hAnsiTheme="minorHAnsi" w:cstheme="minorHAnsi"/>
          <w:bCs/>
        </w:rPr>
        <w:t xml:space="preserve">. </w:t>
      </w:r>
      <w:r w:rsidRPr="00875B75">
        <w:rPr>
          <w:rFonts w:asciiTheme="minorHAnsi" w:eastAsia="Calibri" w:hAnsiTheme="minorHAnsi" w:cstheme="minorHAnsi"/>
          <w:bCs/>
          <w:lang w:eastAsia="en-GB"/>
        </w:rPr>
        <w:t xml:space="preserve">This duty is anticipatory. </w:t>
      </w:r>
      <w:r w:rsidRPr="00875B75">
        <w:rPr>
          <w:rFonts w:asciiTheme="minorHAnsi" w:hAnsiTheme="minorHAnsi" w:cstheme="minorHAnsi"/>
          <w:bCs/>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3235279E" w14:textId="77777777" w:rsidR="008B7517" w:rsidRPr="00875B75" w:rsidRDefault="008B7517" w:rsidP="00177428">
      <w:pPr>
        <w:spacing w:after="0" w:line="240" w:lineRule="auto"/>
        <w:ind w:left="284" w:hanging="284"/>
        <w:rPr>
          <w:rFonts w:asciiTheme="minorHAnsi" w:hAnsiTheme="minorHAnsi" w:cstheme="minorHAnsi"/>
          <w:b/>
        </w:rPr>
      </w:pPr>
    </w:p>
    <w:p w14:paraId="782C61C1" w14:textId="32BA5AAB" w:rsidR="002B3500" w:rsidRPr="00875B75" w:rsidRDefault="002B3500" w:rsidP="00177428">
      <w:pPr>
        <w:spacing w:after="120" w:line="240" w:lineRule="auto"/>
        <w:ind w:left="284" w:hanging="284"/>
        <w:rPr>
          <w:rFonts w:asciiTheme="minorHAnsi" w:hAnsiTheme="minorHAnsi" w:cstheme="minorHAnsi"/>
          <w:b/>
        </w:rPr>
      </w:pPr>
      <w:r w:rsidRPr="00875B75">
        <w:rPr>
          <w:rFonts w:asciiTheme="minorHAnsi" w:hAnsiTheme="minorHAnsi" w:cstheme="minorHAnsi"/>
          <w:b/>
        </w:rPr>
        <w:t>Aim</w:t>
      </w:r>
    </w:p>
    <w:p w14:paraId="59AF18D5" w14:textId="77777777" w:rsidR="002B3500" w:rsidRPr="00875B75" w:rsidRDefault="002B3500" w:rsidP="00177428">
      <w:pPr>
        <w:spacing w:after="0" w:line="240" w:lineRule="auto"/>
        <w:ind w:left="284" w:hanging="284"/>
        <w:rPr>
          <w:rFonts w:asciiTheme="minorHAnsi" w:hAnsiTheme="minorHAnsi" w:cstheme="minorHAnsi"/>
        </w:rPr>
      </w:pPr>
      <w:r w:rsidRPr="00875B75">
        <w:rPr>
          <w:rFonts w:asciiTheme="minorHAnsi" w:hAnsiTheme="minorHAnsi" w:cstheme="minorHAnsi"/>
        </w:rPr>
        <w:t xml:space="preserve">Our provision actively promotes inclusion, equality of opportunity and the valuing of diversity. </w:t>
      </w:r>
    </w:p>
    <w:p w14:paraId="0BBC6123" w14:textId="77777777" w:rsidR="008B7517" w:rsidRPr="00875B75" w:rsidRDefault="008B7517" w:rsidP="00177428">
      <w:pPr>
        <w:pStyle w:val="Heading6"/>
        <w:spacing w:before="0"/>
        <w:ind w:left="284" w:hanging="284"/>
        <w:rPr>
          <w:rFonts w:asciiTheme="minorHAnsi" w:hAnsiTheme="minorHAnsi" w:cstheme="minorHAnsi"/>
          <w:b/>
          <w:i w:val="0"/>
          <w:color w:val="000000"/>
          <w:sz w:val="22"/>
          <w:szCs w:val="22"/>
        </w:rPr>
      </w:pPr>
    </w:p>
    <w:p w14:paraId="2D5876A0" w14:textId="60071BA5" w:rsidR="002B3500" w:rsidRPr="00875B75" w:rsidRDefault="002B3500" w:rsidP="00177428">
      <w:pPr>
        <w:pStyle w:val="Heading6"/>
        <w:spacing w:before="0" w:after="120"/>
        <w:ind w:left="284" w:hanging="284"/>
        <w:rPr>
          <w:rFonts w:asciiTheme="minorHAnsi" w:hAnsiTheme="minorHAnsi" w:cstheme="minorHAnsi"/>
          <w:b/>
          <w:i w:val="0"/>
          <w:color w:val="000000"/>
          <w:sz w:val="22"/>
          <w:szCs w:val="22"/>
        </w:rPr>
      </w:pPr>
      <w:r w:rsidRPr="00875B75">
        <w:rPr>
          <w:rFonts w:asciiTheme="minorHAnsi" w:hAnsiTheme="minorHAnsi" w:cstheme="minorHAnsi"/>
          <w:b/>
          <w:i w:val="0"/>
          <w:color w:val="000000"/>
          <w:sz w:val="22"/>
          <w:szCs w:val="22"/>
        </w:rPr>
        <w:t>Objectives</w:t>
      </w:r>
    </w:p>
    <w:p w14:paraId="35CBAA66" w14:textId="77777777" w:rsidR="002B3500" w:rsidRPr="00875B75" w:rsidRDefault="002B3500" w:rsidP="00177428">
      <w:pPr>
        <w:spacing w:after="120" w:line="240" w:lineRule="auto"/>
        <w:rPr>
          <w:rFonts w:asciiTheme="minorHAnsi" w:hAnsiTheme="minorHAnsi" w:cstheme="minorHAnsi"/>
          <w:b/>
        </w:rPr>
      </w:pPr>
      <w:r w:rsidRPr="00875B75">
        <w:rPr>
          <w:rFonts w:asciiTheme="minorHAnsi" w:hAnsiTheme="minorHAnsi" w:cstheme="minorHAnsi"/>
        </w:rPr>
        <w:t>We support the definition of inclusion as stated by the Early Childhood Forum:</w:t>
      </w:r>
    </w:p>
    <w:p w14:paraId="6154CF76" w14:textId="77777777" w:rsidR="002B3500" w:rsidRPr="00875B75" w:rsidRDefault="002B3500" w:rsidP="00177428">
      <w:pPr>
        <w:spacing w:after="120" w:line="240" w:lineRule="auto"/>
        <w:rPr>
          <w:rFonts w:asciiTheme="minorHAnsi" w:hAnsiTheme="minorHAnsi" w:cstheme="minorHAnsi"/>
        </w:rPr>
      </w:pPr>
      <w:r w:rsidRPr="00875B75">
        <w:rPr>
          <w:rFonts w:asciiTheme="minorHAnsi" w:hAnsiTheme="minorHAnsi" w:cstheme="minorHAnsi"/>
        </w:rPr>
        <w:t>‘</w:t>
      </w:r>
      <w:r w:rsidRPr="00875B75">
        <w:rPr>
          <w:rFonts w:asciiTheme="minorHAnsi" w:hAnsiTheme="minorHAnsi" w:cstheme="minorHAnsi"/>
          <w:i/>
        </w:rPr>
        <w:t>Inclusion is the process of identifying, understanding and breaking down the barriers to participation and belonging.’</w:t>
      </w:r>
    </w:p>
    <w:p w14:paraId="0DA7DBDB" w14:textId="77777777" w:rsidR="002B3500" w:rsidRPr="00875B75" w:rsidRDefault="002B3500" w:rsidP="007023CE">
      <w:pPr>
        <w:pStyle w:val="ListParagraph"/>
        <w:spacing w:after="80" w:line="240" w:lineRule="auto"/>
        <w:ind w:left="0"/>
        <w:contextualSpacing w:val="0"/>
        <w:rPr>
          <w:rFonts w:asciiTheme="minorHAnsi" w:hAnsiTheme="minorHAnsi" w:cstheme="minorHAnsi"/>
        </w:rPr>
      </w:pPr>
      <w:r w:rsidRPr="00875B75">
        <w:rPr>
          <w:rFonts w:asciiTheme="minorHAnsi" w:hAnsiTheme="minorHAnsi" w:cstheme="minorHAnsi"/>
        </w:rPr>
        <w:t>We interpret this as consisting of several tasks and processes in relation not only to children but also to parents and visitors in the setting. These tasks and processes include awareness and knowledge of relevant barriers to inclusion for those with a protected characteristic namely:</w:t>
      </w:r>
    </w:p>
    <w:p w14:paraId="7BAA08F1"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disability </w:t>
      </w:r>
    </w:p>
    <w:p w14:paraId="45260215"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gender reassignment</w:t>
      </w:r>
    </w:p>
    <w:p w14:paraId="5E2AB545"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pregnancy and maternity </w:t>
      </w:r>
    </w:p>
    <w:p w14:paraId="27790982"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race </w:t>
      </w:r>
    </w:p>
    <w:p w14:paraId="696E9A37"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religion or belief </w:t>
      </w:r>
    </w:p>
    <w:p w14:paraId="531F0F97"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sexual orientation </w:t>
      </w:r>
    </w:p>
    <w:p w14:paraId="69A5E500"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sex (gender)</w:t>
      </w:r>
    </w:p>
    <w:p w14:paraId="1C4F2657"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age</w:t>
      </w:r>
    </w:p>
    <w:p w14:paraId="237E9C51" w14:textId="77777777" w:rsidR="002B3500" w:rsidRPr="00875B75" w:rsidRDefault="002B3500" w:rsidP="007023CE">
      <w:pPr>
        <w:numPr>
          <w:ilvl w:val="0"/>
          <w:numId w:val="30"/>
        </w:numPr>
        <w:tabs>
          <w:tab w:val="clear" w:pos="720"/>
        </w:tabs>
        <w:spacing w:after="80" w:line="240" w:lineRule="auto"/>
        <w:ind w:left="567" w:hanging="283"/>
        <w:rPr>
          <w:rFonts w:asciiTheme="minorHAnsi" w:hAnsiTheme="minorHAnsi" w:cstheme="minorHAnsi"/>
        </w:rPr>
      </w:pPr>
      <w:r w:rsidRPr="00875B75">
        <w:rPr>
          <w:rFonts w:asciiTheme="minorHAnsi" w:hAnsiTheme="minorHAnsi" w:cstheme="minorHAnsi"/>
        </w:rPr>
        <w:t xml:space="preserve">marriage or civil partnership (in relation to employment) </w:t>
      </w:r>
    </w:p>
    <w:p w14:paraId="4B3F988E" w14:textId="77777777" w:rsidR="002B3500" w:rsidRPr="00875B75" w:rsidRDefault="002B3500" w:rsidP="00177428">
      <w:pPr>
        <w:spacing w:after="120" w:line="240" w:lineRule="auto"/>
        <w:rPr>
          <w:rFonts w:asciiTheme="minorHAnsi" w:hAnsiTheme="minorHAnsi" w:cstheme="minorHAnsi"/>
        </w:rPr>
      </w:pPr>
      <w:r w:rsidRPr="00875B75">
        <w:rPr>
          <w:rFonts w:asciiTheme="minorHAnsi" w:hAnsiTheme="minorHAnsi" w:cstheme="minorHAnsi"/>
        </w:rPr>
        <w:t>This includes unlawful behaviour towards people with protected characteristics. Unlawful behaviour being direct discrimination, indirect discrimination, associative discrimination, discrimination by perception, harassment, and victimisation (in addition, we are aware of the inequality that users facing socio-economic disadvantaged may also encounter). We will not tolerate behaviour from an adult which demonstrates dislike and prejudice towards groups and individuals living outside the UK (</w:t>
      </w:r>
      <w:r w:rsidRPr="00875B75">
        <w:rPr>
          <w:rFonts w:asciiTheme="minorHAnsi" w:hAnsiTheme="minorHAnsi" w:cstheme="minorHAnsi"/>
          <w:b/>
        </w:rPr>
        <w:t>xenophobia</w:t>
      </w:r>
      <w:r w:rsidRPr="00875B75">
        <w:rPr>
          <w:rFonts w:asciiTheme="minorHAnsi" w:hAnsiTheme="minorHAnsi" w:cstheme="minorHAnsi"/>
        </w:rPr>
        <w:t xml:space="preserve">). This also applies to the same behaviour towards specific groups of people and individuals who are British Citizens residing in the UK. </w:t>
      </w:r>
    </w:p>
    <w:p w14:paraId="61CC6437" w14:textId="77777777" w:rsidR="002B3500" w:rsidRPr="00875B75" w:rsidRDefault="002B3500" w:rsidP="00177428">
      <w:pPr>
        <w:pStyle w:val="ListParagraph"/>
        <w:spacing w:after="120" w:line="240" w:lineRule="auto"/>
        <w:ind w:left="0"/>
        <w:contextualSpacing w:val="0"/>
        <w:rPr>
          <w:rFonts w:asciiTheme="minorHAnsi" w:hAnsiTheme="minorHAnsi" w:cstheme="minorHAnsi"/>
        </w:rPr>
      </w:pPr>
      <w:r w:rsidRPr="00875B75">
        <w:rPr>
          <w:rFonts w:asciiTheme="minorHAnsi" w:hAnsiTheme="minorHAnsi" w:cstheme="minorHAnsi"/>
        </w:rPr>
        <w:lastRenderedPageBreak/>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792D69A5" w14:textId="77777777" w:rsidR="002B3500" w:rsidRPr="00875B75" w:rsidRDefault="002B3500" w:rsidP="007023CE">
      <w:pPr>
        <w:pStyle w:val="ListParagraph"/>
        <w:numPr>
          <w:ilvl w:val="0"/>
          <w:numId w:val="31"/>
        </w:numPr>
        <w:spacing w:after="80" w:line="240" w:lineRule="auto"/>
        <w:ind w:left="284" w:hanging="284"/>
        <w:contextualSpacing w:val="0"/>
        <w:rPr>
          <w:rFonts w:asciiTheme="minorHAnsi" w:hAnsiTheme="minorHAnsi" w:cstheme="minorHAnsi"/>
        </w:rPr>
      </w:pPr>
      <w:r w:rsidRPr="00875B75">
        <w:rPr>
          <w:rFonts w:asciiTheme="minorHAnsi" w:hAnsiTheme="minorHAnsi" w:cstheme="minorHAnsi"/>
        </w:rPr>
        <w:t>Developing practice that includes:</w:t>
      </w:r>
    </w:p>
    <w:p w14:paraId="5E3ACCB6"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Developing an environment which reflects the ‘kaleidoscope’ of factors that can provide settings with a myriad of influences and ideas for exploring and celebrating difference.</w:t>
      </w:r>
    </w:p>
    <w:p w14:paraId="10CC4001"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Ensuring that barriers to inclusion are identified and removed or minimised wherever possible; for example, we complete 01.1b Access audit form.</w:t>
      </w:r>
    </w:p>
    <w:p w14:paraId="06C030B2"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 we welcome and promote bi/multi-lingualism and the use of alternative communication formats such as sign language, and we promote gender equality while at the same time recognising the differences in play preferences and developmental timetables of girls and boys.</w:t>
      </w:r>
    </w:p>
    <w:p w14:paraId="1618D756"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Recognising that this ‘kaleidoscope’ also reflects negative images which may be internalised and negatively affect the development of self-concept, self-esteem, and confidence.</w:t>
      </w:r>
    </w:p>
    <w:p w14:paraId="5209BA55"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Promoting a welcoming atmosphere that genuinely appreciate British values, different cultural and personal perspectives, without stereotyping and prejudicing cultures and traditions on raising children, by always involving parents.</w:t>
      </w:r>
    </w:p>
    <w:p w14:paraId="5A3E42A4"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Promoting community cohesion and creating an environment that pre-empts acts of discrimination so that they do not arise.</w:t>
      </w:r>
    </w:p>
    <w:p w14:paraId="218F7FC5"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Recruitment of staff to reflect cultural and language diversity, disabled staff, and staff of both genders.</w:t>
      </w:r>
    </w:p>
    <w:p w14:paraId="19257B84"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Addressing discrimination as it occurs from children in a sensitive, age-appropriate manner to ensure that everyone involved understands the situation and are offered reassurance and support to achieve resolution.</w:t>
      </w:r>
    </w:p>
    <w:p w14:paraId="4E002D5A"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Challenging discriminatory behaviour from parents, staff or outside agencies or individuals that affect the well-being of children and the early years community.</w:t>
      </w:r>
    </w:p>
    <w:p w14:paraId="77D8AA96"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4E1534FA"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Ensuring that practitioners work closely with the Special Educational Needs Coordinator to make sure that the additional needs of all children are identified and met.</w:t>
      </w:r>
    </w:p>
    <w:p w14:paraId="1E9E37A9"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We are aware of anti-discriminatory legislation and able to use it to shape the service and support parents and children against discrimination in the local community, for example, against asylum seekers, the Travelling community and same sex parents.</w:t>
      </w:r>
    </w:p>
    <w:p w14:paraId="36CA03E5" w14:textId="77777777" w:rsidR="002B3500" w:rsidRPr="00875B75" w:rsidRDefault="002B3500" w:rsidP="007023CE">
      <w:pPr>
        <w:pStyle w:val="ListParagraph"/>
        <w:numPr>
          <w:ilvl w:val="0"/>
          <w:numId w:val="32"/>
        </w:numPr>
        <w:spacing w:after="80" w:line="240" w:lineRule="auto"/>
        <w:ind w:left="567" w:hanging="283"/>
        <w:contextualSpacing w:val="0"/>
        <w:rPr>
          <w:rFonts w:asciiTheme="minorHAnsi" w:hAnsiTheme="minorHAnsi" w:cstheme="minorHAnsi"/>
        </w:rPr>
      </w:pPr>
      <w:r w:rsidRPr="00875B75">
        <w:rPr>
          <w:rFonts w:asciiTheme="minorHAnsi" w:hAnsiTheme="minorHAnsi" w:cstheme="minorHAnsi"/>
        </w:rPr>
        <w:t>We regularly monitor and review our practice including 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42D6AA50" w14:textId="77777777" w:rsidR="008B7517" w:rsidRPr="00875B75" w:rsidRDefault="008B7517" w:rsidP="007023CE">
      <w:pPr>
        <w:spacing w:after="80" w:line="240" w:lineRule="auto"/>
        <w:ind w:left="567" w:hanging="283"/>
        <w:rPr>
          <w:rFonts w:asciiTheme="minorHAnsi" w:hAnsiTheme="minorHAnsi" w:cstheme="minorHAnsi"/>
          <w:b/>
        </w:rPr>
      </w:pPr>
    </w:p>
    <w:p w14:paraId="7F043630" w14:textId="54E7272C" w:rsidR="002B3500" w:rsidRPr="00875B75" w:rsidRDefault="002B3500" w:rsidP="007023CE">
      <w:pPr>
        <w:spacing w:after="80" w:line="240" w:lineRule="auto"/>
        <w:ind w:left="284" w:hanging="284"/>
        <w:rPr>
          <w:rFonts w:asciiTheme="minorHAnsi" w:hAnsiTheme="minorHAnsi" w:cstheme="minorHAnsi"/>
          <w:b/>
        </w:rPr>
      </w:pPr>
      <w:r w:rsidRPr="00875B75">
        <w:rPr>
          <w:rFonts w:asciiTheme="minorHAnsi" w:hAnsiTheme="minorHAnsi" w:cstheme="minorHAnsi"/>
          <w:b/>
        </w:rPr>
        <w:t>Legal references</w:t>
      </w:r>
    </w:p>
    <w:p w14:paraId="5F9FD303"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General Data Protection Regulation 2018</w:t>
      </w:r>
    </w:p>
    <w:p w14:paraId="116EF26F"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Children and Families Act 2014 Part 3</w:t>
      </w:r>
    </w:p>
    <w:p w14:paraId="685745B8"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lastRenderedPageBreak/>
        <w:t>Special Educational Needs and Disability Code of Practice 2014</w:t>
      </w:r>
    </w:p>
    <w:p w14:paraId="771A82ED"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Disability Equality Duty 2011</w:t>
      </w:r>
    </w:p>
    <w:p w14:paraId="4F1DAB31"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Equality Act 2010</w:t>
      </w:r>
    </w:p>
    <w:p w14:paraId="403D629F" w14:textId="77777777" w:rsidR="002B350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Prevent Strategy 2015</w:t>
      </w:r>
    </w:p>
    <w:p w14:paraId="6C0CE9DC" w14:textId="77777777" w:rsidR="008B7517" w:rsidRPr="00875B75" w:rsidRDefault="008B7517" w:rsidP="007023CE">
      <w:pPr>
        <w:spacing w:after="80" w:line="240" w:lineRule="auto"/>
        <w:ind w:left="284" w:hanging="284"/>
        <w:rPr>
          <w:rFonts w:asciiTheme="minorHAnsi" w:hAnsiTheme="minorHAnsi" w:cstheme="minorHAnsi"/>
          <w:b/>
          <w:bCs/>
        </w:rPr>
      </w:pPr>
    </w:p>
    <w:p w14:paraId="0DFD5637" w14:textId="4050850C" w:rsidR="002B3500" w:rsidRPr="00875B75" w:rsidRDefault="002B3500" w:rsidP="007023CE">
      <w:pPr>
        <w:spacing w:after="80" w:line="240" w:lineRule="auto"/>
        <w:ind w:left="284" w:hanging="284"/>
        <w:rPr>
          <w:rFonts w:asciiTheme="minorHAnsi" w:hAnsiTheme="minorHAnsi" w:cstheme="minorHAnsi"/>
          <w:b/>
          <w:bCs/>
        </w:rPr>
      </w:pPr>
      <w:r w:rsidRPr="00875B75">
        <w:rPr>
          <w:rFonts w:asciiTheme="minorHAnsi" w:hAnsiTheme="minorHAnsi" w:cstheme="minorHAnsi"/>
          <w:b/>
          <w:bCs/>
        </w:rPr>
        <w:t>Further guidance</w:t>
      </w:r>
    </w:p>
    <w:p w14:paraId="272BE648" w14:textId="7D1DABBF" w:rsidR="00D75AE0" w:rsidRPr="00875B75" w:rsidRDefault="002B3500" w:rsidP="007023CE">
      <w:pPr>
        <w:spacing w:after="80" w:line="240" w:lineRule="auto"/>
        <w:ind w:left="284" w:hanging="284"/>
        <w:rPr>
          <w:rFonts w:asciiTheme="minorHAnsi" w:hAnsiTheme="minorHAnsi" w:cstheme="minorHAnsi"/>
        </w:rPr>
      </w:pPr>
      <w:r w:rsidRPr="00875B75">
        <w:rPr>
          <w:rFonts w:asciiTheme="minorHAnsi" w:hAnsiTheme="minorHAnsi" w:cstheme="minorHAnsi"/>
        </w:rPr>
        <w:t>Guide to the Equalit</w:t>
      </w:r>
      <w:r w:rsidR="00295CF9" w:rsidRPr="00875B75">
        <w:rPr>
          <w:rFonts w:asciiTheme="minorHAnsi" w:hAnsiTheme="minorHAnsi" w:cstheme="minorHAnsi"/>
        </w:rPr>
        <w:t>y</w:t>
      </w:r>
    </w:p>
    <w:p w14:paraId="3F27E057" w14:textId="35C3D66E" w:rsidR="009B1A50" w:rsidRPr="00875B75" w:rsidRDefault="009B1A50" w:rsidP="00177428">
      <w:pPr>
        <w:spacing w:after="120" w:line="240" w:lineRule="auto"/>
        <w:ind w:left="284" w:hanging="284"/>
        <w:rPr>
          <w:rFonts w:asciiTheme="minorHAnsi" w:hAnsiTheme="minorHAnsi" w:cstheme="minorHAnsi"/>
        </w:rPr>
      </w:pPr>
    </w:p>
    <w:p w14:paraId="35060318" w14:textId="42B16DFC" w:rsidR="00E25637" w:rsidRPr="00875B75" w:rsidRDefault="00E25637" w:rsidP="00177428">
      <w:pPr>
        <w:spacing w:after="120" w:line="240" w:lineRule="auto"/>
        <w:ind w:left="284" w:hanging="284"/>
        <w:rPr>
          <w:rFonts w:asciiTheme="minorHAnsi" w:hAnsiTheme="minorHAnsi" w:cstheme="minorHAnsi"/>
        </w:rPr>
      </w:pPr>
    </w:p>
    <w:p w14:paraId="2BD53437" w14:textId="2D40E963" w:rsidR="00E25637" w:rsidRPr="00875B75" w:rsidRDefault="00E25637" w:rsidP="00177428">
      <w:pPr>
        <w:spacing w:after="120" w:line="240" w:lineRule="auto"/>
        <w:ind w:left="284" w:hanging="284"/>
        <w:rPr>
          <w:rFonts w:asciiTheme="minorHAnsi" w:hAnsiTheme="minorHAnsi" w:cstheme="minorHAnsi"/>
        </w:rPr>
      </w:pPr>
    </w:p>
    <w:p w14:paraId="2E4658C7" w14:textId="5BC88DA7" w:rsidR="00E25637" w:rsidRPr="00875B75" w:rsidRDefault="00E25637" w:rsidP="00177428">
      <w:pPr>
        <w:spacing w:after="120" w:line="240" w:lineRule="auto"/>
        <w:ind w:left="284" w:hanging="284"/>
        <w:rPr>
          <w:rFonts w:asciiTheme="minorHAnsi" w:hAnsiTheme="minorHAnsi" w:cstheme="minorHAnsi"/>
        </w:rPr>
      </w:pPr>
    </w:p>
    <w:p w14:paraId="37EF24D2" w14:textId="09721FD1" w:rsidR="00E25637" w:rsidRPr="00875B75" w:rsidRDefault="00E25637" w:rsidP="00177428">
      <w:pPr>
        <w:spacing w:after="120" w:line="240" w:lineRule="auto"/>
        <w:ind w:left="284" w:hanging="284"/>
        <w:rPr>
          <w:rFonts w:asciiTheme="minorHAnsi" w:hAnsiTheme="minorHAnsi" w:cstheme="minorHAnsi"/>
        </w:rPr>
      </w:pPr>
    </w:p>
    <w:p w14:paraId="7A3B3EE2" w14:textId="77777777" w:rsidR="00FE3F75" w:rsidRPr="00875B75" w:rsidRDefault="00FE3F75" w:rsidP="00177428">
      <w:pPr>
        <w:spacing w:after="120" w:line="240" w:lineRule="auto"/>
        <w:ind w:left="284" w:hanging="284"/>
        <w:rPr>
          <w:rFonts w:asciiTheme="minorHAnsi" w:hAnsiTheme="minorHAnsi" w:cstheme="minorHAnsi"/>
        </w:rPr>
      </w:pPr>
    </w:p>
    <w:p w14:paraId="63EB036F" w14:textId="49EF99C2" w:rsidR="00E25637" w:rsidRPr="00875B75" w:rsidRDefault="00E25637" w:rsidP="00177428">
      <w:pPr>
        <w:spacing w:after="120" w:line="240" w:lineRule="auto"/>
        <w:ind w:left="284" w:hanging="284"/>
        <w:rPr>
          <w:rFonts w:asciiTheme="minorHAnsi" w:hAnsiTheme="minorHAnsi" w:cstheme="minorHAnsi"/>
        </w:rPr>
      </w:pPr>
    </w:p>
    <w:p w14:paraId="07EA788D" w14:textId="491F813B" w:rsidR="00E25637" w:rsidRPr="00875B75" w:rsidRDefault="00E25637" w:rsidP="00177428">
      <w:pPr>
        <w:spacing w:after="120" w:line="240" w:lineRule="auto"/>
        <w:ind w:left="284" w:hanging="284"/>
        <w:rPr>
          <w:rFonts w:asciiTheme="minorHAnsi" w:hAnsiTheme="minorHAnsi" w:cstheme="minorHAnsi"/>
        </w:rPr>
      </w:pPr>
    </w:p>
    <w:p w14:paraId="58AD7D43" w14:textId="12AB6276" w:rsidR="00E25637" w:rsidRPr="00875B75" w:rsidRDefault="00E25637" w:rsidP="00177428">
      <w:pPr>
        <w:spacing w:after="120" w:line="240" w:lineRule="auto"/>
        <w:ind w:left="284" w:hanging="284"/>
        <w:rPr>
          <w:rFonts w:asciiTheme="minorHAnsi" w:hAnsiTheme="minorHAnsi" w:cstheme="minorHAnsi"/>
        </w:rPr>
      </w:pPr>
    </w:p>
    <w:p w14:paraId="53ED0AA7" w14:textId="4DE85984" w:rsidR="00E25637" w:rsidRPr="00875B75" w:rsidRDefault="00E25637" w:rsidP="00177428">
      <w:pPr>
        <w:spacing w:after="120" w:line="240" w:lineRule="auto"/>
        <w:ind w:left="284" w:hanging="284"/>
        <w:rPr>
          <w:rFonts w:asciiTheme="minorHAnsi" w:hAnsiTheme="minorHAnsi" w:cstheme="minorHAnsi"/>
        </w:rPr>
      </w:pPr>
    </w:p>
    <w:p w14:paraId="65BEE8B4" w14:textId="1271165A" w:rsidR="00FE3F75" w:rsidRPr="00875B75" w:rsidRDefault="00177428" w:rsidP="00177428">
      <w:pPr>
        <w:spacing w:after="120" w:line="240" w:lineRule="auto"/>
        <w:ind w:left="284" w:hanging="284"/>
        <w:rPr>
          <w:rFonts w:asciiTheme="minorHAnsi" w:hAnsiTheme="minorHAnsi" w:cstheme="minorHAnsi"/>
        </w:rPr>
      </w:pPr>
      <w:r w:rsidRPr="00875B75">
        <w:rPr>
          <w:rFonts w:asciiTheme="minorHAnsi" w:hAnsiTheme="minorHAnsi" w:cstheme="minorHAnsi"/>
          <w:noProof/>
        </w:rPr>
        <w:drawing>
          <wp:anchor distT="0" distB="0" distL="114300" distR="114300" simplePos="0" relativeHeight="251658240" behindDoc="1" locked="0" layoutInCell="1" allowOverlap="1" wp14:anchorId="06D53851" wp14:editId="13920780">
            <wp:simplePos x="0" y="0"/>
            <wp:positionH relativeFrom="column">
              <wp:posOffset>-81280</wp:posOffset>
            </wp:positionH>
            <wp:positionV relativeFrom="paragraph">
              <wp:posOffset>156845</wp:posOffset>
            </wp:positionV>
            <wp:extent cx="1615440" cy="496570"/>
            <wp:effectExtent l="0" t="0" r="3810" b="0"/>
            <wp:wrapNone/>
            <wp:docPr id="3"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6570"/>
                    </a:xfrm>
                    <a:prstGeom prst="rect">
                      <a:avLst/>
                    </a:prstGeom>
                    <a:noFill/>
                  </pic:spPr>
                </pic:pic>
              </a:graphicData>
            </a:graphic>
            <wp14:sizeRelH relativeFrom="page">
              <wp14:pctWidth>0</wp14:pctWidth>
            </wp14:sizeRelH>
            <wp14:sizeRelV relativeFrom="page">
              <wp14:pctHeight>0</wp14:pctHeight>
            </wp14:sizeRelV>
          </wp:anchor>
        </w:drawing>
      </w:r>
    </w:p>
    <w:p w14:paraId="3CDE2097" w14:textId="6F3D018B" w:rsidR="00631E7F" w:rsidRPr="00875B75" w:rsidRDefault="00631E7F" w:rsidP="00177428">
      <w:pPr>
        <w:spacing w:after="120" w:line="240" w:lineRule="auto"/>
        <w:ind w:left="284" w:hanging="284"/>
        <w:rPr>
          <w:rFonts w:asciiTheme="minorHAnsi" w:hAnsiTheme="minorHAnsi" w:cstheme="minorHAnsi"/>
        </w:rPr>
      </w:pPr>
    </w:p>
    <w:p w14:paraId="49146ADA" w14:textId="77777777" w:rsidR="00631E7F" w:rsidRPr="00875B75" w:rsidRDefault="00631E7F" w:rsidP="00177428">
      <w:pPr>
        <w:spacing w:after="120" w:line="240" w:lineRule="auto"/>
        <w:ind w:left="284" w:hanging="284"/>
        <w:rPr>
          <w:rFonts w:asciiTheme="minorHAnsi" w:hAnsiTheme="minorHAnsi" w:cstheme="minorHAnsi"/>
        </w:rPr>
      </w:pPr>
    </w:p>
    <w:p w14:paraId="30951E4B" w14:textId="351CA92E" w:rsidR="00631E7F" w:rsidRPr="00875B75" w:rsidRDefault="00631E7F" w:rsidP="00177428">
      <w:pPr>
        <w:spacing w:after="120" w:line="240" w:lineRule="auto"/>
        <w:ind w:left="284" w:hanging="284"/>
        <w:rPr>
          <w:rFonts w:asciiTheme="minorHAnsi" w:hAnsiTheme="minorHAnsi" w:cstheme="minorHAnsi"/>
        </w:rPr>
      </w:pPr>
      <w:r w:rsidRPr="00875B75">
        <w:rPr>
          <w:rFonts w:asciiTheme="minorHAnsi" w:hAnsiTheme="minorHAnsi" w:cstheme="minorHAnsi"/>
        </w:rPr>
        <w:t>Rosalind Hambidge (Director)</w:t>
      </w:r>
      <w:r w:rsidRPr="00875B75">
        <w:rPr>
          <w:rFonts w:asciiTheme="minorHAnsi" w:hAnsiTheme="minorHAnsi" w:cstheme="minorHAnsi"/>
        </w:rPr>
        <w:tab/>
        <w:t xml:space="preserve">Date: </w:t>
      </w:r>
      <w:r w:rsidR="00D969E8">
        <w:rPr>
          <w:rFonts w:asciiTheme="minorHAnsi" w:hAnsiTheme="minorHAnsi" w:cstheme="minorHAnsi"/>
        </w:rPr>
        <w:t>7</w:t>
      </w:r>
      <w:r w:rsidR="00177428">
        <w:rPr>
          <w:rFonts w:asciiTheme="minorHAnsi" w:hAnsiTheme="minorHAnsi" w:cstheme="minorHAnsi"/>
        </w:rPr>
        <w:t>/2/2023</w:t>
      </w:r>
    </w:p>
    <w:p w14:paraId="63B7EA20" w14:textId="4406DB53" w:rsidR="00631E7F" w:rsidRPr="00875B75" w:rsidRDefault="00177428" w:rsidP="00177428">
      <w:pPr>
        <w:spacing w:after="120" w:line="240" w:lineRule="auto"/>
        <w:ind w:left="284" w:hanging="284"/>
        <w:rPr>
          <w:rFonts w:asciiTheme="minorHAnsi" w:hAnsiTheme="minorHAnsi" w:cstheme="minorHAnsi"/>
        </w:rPr>
      </w:pPr>
      <w:r w:rsidRPr="00875B75">
        <w:rPr>
          <w:rFonts w:asciiTheme="minorHAnsi" w:hAnsiTheme="minorHAnsi" w:cstheme="minorHAnsi"/>
        </w:rPr>
        <w:t>Signed on behalf of Little Oak Pre-school (Witney) Ltd</w:t>
      </w:r>
    </w:p>
    <w:p w14:paraId="219DC763" w14:textId="4DA82AC0" w:rsidR="00631E7F" w:rsidRPr="00875B75" w:rsidRDefault="00631E7F" w:rsidP="00177428">
      <w:pPr>
        <w:tabs>
          <w:tab w:val="left" w:pos="0"/>
          <w:tab w:val="right" w:leader="dot" w:pos="7371"/>
          <w:tab w:val="right" w:leader="dot" w:pos="9923"/>
        </w:tabs>
        <w:spacing w:after="120" w:line="240" w:lineRule="auto"/>
        <w:ind w:left="284" w:hanging="284"/>
        <w:rPr>
          <w:rFonts w:asciiTheme="minorHAnsi" w:hAnsiTheme="minorHAnsi" w:cstheme="minorHAnsi"/>
        </w:rPr>
      </w:pPr>
      <w:r w:rsidRPr="00875B75">
        <w:rPr>
          <w:rFonts w:asciiTheme="minorHAnsi" w:hAnsiTheme="minorHAnsi" w:cstheme="minorHAnsi"/>
        </w:rPr>
        <w:t xml:space="preserve">Policy </w:t>
      </w:r>
      <w:proofErr w:type="gramStart"/>
      <w:r w:rsidRPr="00875B75">
        <w:rPr>
          <w:rFonts w:asciiTheme="minorHAnsi" w:hAnsiTheme="minorHAnsi" w:cstheme="minorHAnsi"/>
        </w:rPr>
        <w:t>review</w:t>
      </w:r>
      <w:proofErr w:type="gramEnd"/>
      <w:r w:rsidRPr="00875B75">
        <w:rPr>
          <w:rFonts w:asciiTheme="minorHAnsi" w:hAnsiTheme="minorHAnsi" w:cstheme="minorHAnsi"/>
        </w:rPr>
        <w:t xml:space="preserve"> due:</w:t>
      </w:r>
      <w:r w:rsidR="00177428">
        <w:rPr>
          <w:rFonts w:asciiTheme="minorHAnsi" w:hAnsiTheme="minorHAnsi" w:cstheme="minorHAnsi"/>
        </w:rPr>
        <w:t xml:space="preserve"> October</w:t>
      </w:r>
      <w:r w:rsidRPr="00875B75">
        <w:rPr>
          <w:rFonts w:asciiTheme="minorHAnsi" w:hAnsiTheme="minorHAnsi" w:cstheme="minorHAnsi"/>
        </w:rPr>
        <w:t xml:space="preserve"> 202</w:t>
      </w:r>
      <w:r w:rsidR="00107865" w:rsidRPr="00875B75">
        <w:rPr>
          <w:rFonts w:asciiTheme="minorHAnsi" w:hAnsiTheme="minorHAnsi" w:cstheme="minorHAnsi"/>
        </w:rPr>
        <w:t>3</w:t>
      </w:r>
    </w:p>
    <w:p w14:paraId="3CF6DACF" w14:textId="77777777" w:rsidR="00631E7F" w:rsidRPr="00875B75" w:rsidRDefault="00631E7F" w:rsidP="00587AF8">
      <w:pPr>
        <w:tabs>
          <w:tab w:val="right" w:leader="dot" w:pos="7371"/>
          <w:tab w:val="right" w:leader="dot" w:pos="9923"/>
        </w:tabs>
        <w:spacing w:after="0" w:line="320" w:lineRule="atLeast"/>
        <w:rPr>
          <w:rFonts w:asciiTheme="minorHAnsi" w:hAnsiTheme="minorHAnsi" w:cstheme="minorHAnsi"/>
        </w:rPr>
      </w:pPr>
    </w:p>
    <w:p w14:paraId="3DC5A2D7" w14:textId="77777777" w:rsidR="003B31D5" w:rsidRPr="00875B75" w:rsidRDefault="003B31D5" w:rsidP="00587AF8">
      <w:pPr>
        <w:tabs>
          <w:tab w:val="right" w:pos="6237"/>
          <w:tab w:val="right" w:leader="dot" w:pos="9923"/>
        </w:tabs>
        <w:spacing w:after="0" w:line="320" w:lineRule="atLeast"/>
        <w:rPr>
          <w:rFonts w:asciiTheme="minorHAnsi" w:hAnsiTheme="minorHAnsi" w:cstheme="minorHAnsi"/>
        </w:rPr>
      </w:pPr>
    </w:p>
    <w:p w14:paraId="4128EF4E" w14:textId="3393B155" w:rsidR="00631E7F" w:rsidRPr="00875B75" w:rsidRDefault="00631E7F" w:rsidP="00587AF8">
      <w:pPr>
        <w:tabs>
          <w:tab w:val="right" w:pos="6237"/>
          <w:tab w:val="right" w:leader="dot" w:pos="9923"/>
        </w:tabs>
        <w:spacing w:after="0" w:line="320" w:lineRule="atLeast"/>
        <w:rPr>
          <w:rFonts w:asciiTheme="minorHAnsi" w:hAnsiTheme="minorHAnsi" w:cstheme="minorHAnsi"/>
        </w:rPr>
      </w:pPr>
      <w:r w:rsidRPr="00875B75">
        <w:rPr>
          <w:rFonts w:asciiTheme="minorHAnsi" w:hAnsiTheme="minorHAnsi" w:cstheme="minorHAnsi"/>
        </w:rPr>
        <w:tab/>
      </w:r>
    </w:p>
    <w:p w14:paraId="1DA6DD0D" w14:textId="4EF9E3C7" w:rsidR="0086356F" w:rsidRPr="00875B75" w:rsidRDefault="0086356F" w:rsidP="00EE104C">
      <w:pPr>
        <w:rPr>
          <w:rFonts w:asciiTheme="minorHAnsi" w:hAnsiTheme="minorHAnsi" w:cstheme="minorHAnsi"/>
        </w:rPr>
      </w:pPr>
    </w:p>
    <w:p w14:paraId="7CB51577" w14:textId="77777777" w:rsidR="0086356F" w:rsidRDefault="0086356F" w:rsidP="00E54749">
      <w:pPr>
        <w:spacing w:after="0" w:line="480" w:lineRule="auto"/>
        <w:rPr>
          <w:rFonts w:asciiTheme="minorHAnsi" w:hAnsiTheme="minorHAnsi" w:cstheme="minorHAnsi"/>
        </w:rPr>
      </w:pPr>
    </w:p>
    <w:p w14:paraId="4FB8D7F3" w14:textId="77777777" w:rsidR="000B2218" w:rsidRPr="000B2218" w:rsidRDefault="000B2218" w:rsidP="000B2218">
      <w:pPr>
        <w:rPr>
          <w:rFonts w:asciiTheme="minorHAnsi" w:hAnsiTheme="minorHAnsi" w:cstheme="minorHAnsi"/>
        </w:rPr>
      </w:pPr>
    </w:p>
    <w:p w14:paraId="42BA2147" w14:textId="77777777" w:rsidR="000B2218" w:rsidRPr="000B2218" w:rsidRDefault="000B2218" w:rsidP="000B2218">
      <w:pPr>
        <w:rPr>
          <w:rFonts w:asciiTheme="minorHAnsi" w:hAnsiTheme="minorHAnsi" w:cstheme="minorHAnsi"/>
        </w:rPr>
      </w:pPr>
    </w:p>
    <w:p w14:paraId="5EE45D28" w14:textId="77777777" w:rsidR="000B2218" w:rsidRPr="000B2218" w:rsidRDefault="000B2218" w:rsidP="000B2218">
      <w:pPr>
        <w:rPr>
          <w:rFonts w:asciiTheme="minorHAnsi" w:hAnsiTheme="minorHAnsi" w:cstheme="minorHAnsi"/>
        </w:rPr>
      </w:pPr>
    </w:p>
    <w:p w14:paraId="3ADF80D7" w14:textId="77777777" w:rsidR="000B2218" w:rsidRPr="000B2218" w:rsidRDefault="000B2218" w:rsidP="000B2218">
      <w:pPr>
        <w:rPr>
          <w:rFonts w:asciiTheme="minorHAnsi" w:hAnsiTheme="minorHAnsi" w:cstheme="minorHAnsi"/>
        </w:rPr>
      </w:pPr>
    </w:p>
    <w:p w14:paraId="629C6A6B" w14:textId="77777777" w:rsidR="000B2218" w:rsidRPr="000B2218" w:rsidRDefault="000B2218" w:rsidP="000B2218">
      <w:pPr>
        <w:rPr>
          <w:rFonts w:asciiTheme="minorHAnsi" w:hAnsiTheme="minorHAnsi" w:cstheme="minorHAnsi"/>
        </w:rPr>
      </w:pPr>
    </w:p>
    <w:p w14:paraId="3BB0A6E0" w14:textId="77777777" w:rsidR="000B2218" w:rsidRPr="000B2218" w:rsidRDefault="000B2218" w:rsidP="000B2218">
      <w:pPr>
        <w:rPr>
          <w:rFonts w:asciiTheme="minorHAnsi" w:hAnsiTheme="minorHAnsi" w:cstheme="minorHAnsi"/>
        </w:rPr>
      </w:pPr>
    </w:p>
    <w:p w14:paraId="008A4ADD" w14:textId="77777777" w:rsidR="000B2218" w:rsidRPr="000B2218" w:rsidRDefault="000B2218" w:rsidP="000B2218">
      <w:pPr>
        <w:rPr>
          <w:rFonts w:asciiTheme="minorHAnsi" w:hAnsiTheme="minorHAnsi" w:cstheme="minorHAnsi"/>
        </w:rPr>
      </w:pPr>
    </w:p>
    <w:p w14:paraId="03DFDEF1" w14:textId="77777777" w:rsidR="000B2218" w:rsidRPr="000B2218" w:rsidRDefault="000B2218" w:rsidP="000B2218">
      <w:pPr>
        <w:rPr>
          <w:rFonts w:asciiTheme="minorHAnsi" w:hAnsiTheme="minorHAnsi" w:cstheme="minorHAnsi"/>
        </w:rPr>
      </w:pPr>
    </w:p>
    <w:p w14:paraId="303B850B" w14:textId="77777777" w:rsidR="000B2218" w:rsidRPr="000B2218" w:rsidRDefault="000B2218" w:rsidP="000B2218">
      <w:pPr>
        <w:rPr>
          <w:rFonts w:asciiTheme="minorHAnsi" w:hAnsiTheme="minorHAnsi" w:cstheme="minorHAnsi"/>
        </w:rPr>
      </w:pPr>
    </w:p>
    <w:p w14:paraId="069A7A10" w14:textId="3862B507" w:rsidR="000B2218" w:rsidRPr="000B2218" w:rsidRDefault="000B2218" w:rsidP="000B2218">
      <w:pPr>
        <w:tabs>
          <w:tab w:val="left" w:pos="910"/>
        </w:tabs>
        <w:rPr>
          <w:rFonts w:asciiTheme="minorHAnsi" w:hAnsiTheme="minorHAnsi" w:cstheme="minorHAnsi"/>
        </w:rPr>
      </w:pPr>
    </w:p>
    <w:sectPr w:rsidR="000B2218" w:rsidRPr="000B2218" w:rsidSect="002A4979">
      <w:footerReference w:type="default" r:id="rId9"/>
      <w:headerReference w:type="first" r:id="rId10"/>
      <w:footerReference w:type="first" r:id="rId11"/>
      <w:pgSz w:w="11910" w:h="16840"/>
      <w:pgMar w:top="567" w:right="567" w:bottom="567"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2F73" w14:textId="77777777" w:rsidR="00061EDE" w:rsidRDefault="00061EDE" w:rsidP="00AB39FC">
      <w:pPr>
        <w:spacing w:after="0" w:line="240" w:lineRule="auto"/>
      </w:pPr>
      <w:r>
        <w:separator/>
      </w:r>
    </w:p>
  </w:endnote>
  <w:endnote w:type="continuationSeparator" w:id="0">
    <w:p w14:paraId="5C338DCB" w14:textId="77777777" w:rsidR="00061EDE" w:rsidRDefault="00061EDE" w:rsidP="00AB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2079"/>
      <w:docPartObj>
        <w:docPartGallery w:val="Page Numbers (Bottom of Page)"/>
        <w:docPartUnique/>
      </w:docPartObj>
    </w:sdtPr>
    <w:sdtEndPr>
      <w:rPr>
        <w:noProof/>
      </w:rPr>
    </w:sdtEndPr>
    <w:sdtContent>
      <w:p w14:paraId="138909E3" w14:textId="77777777" w:rsidR="000B2218" w:rsidRDefault="0016311F" w:rsidP="000B2218">
        <w:pPr>
          <w:spacing w:after="0" w:line="240" w:lineRule="auto"/>
          <w:jc w:val="right"/>
          <w:rPr>
            <w:noProof/>
            <w:sz w:val="16"/>
            <w:szCs w:val="16"/>
          </w:rPr>
        </w:pPr>
        <w:r w:rsidRPr="006635DC">
          <w:rPr>
            <w:sz w:val="16"/>
            <w:szCs w:val="16"/>
          </w:rPr>
          <w:fldChar w:fldCharType="begin"/>
        </w:r>
        <w:r w:rsidRPr="006635DC">
          <w:rPr>
            <w:sz w:val="16"/>
            <w:szCs w:val="16"/>
          </w:rPr>
          <w:instrText xml:space="preserve"> PAGE   \* MERGEFORMAT </w:instrText>
        </w:r>
        <w:r w:rsidRPr="006635DC">
          <w:rPr>
            <w:sz w:val="16"/>
            <w:szCs w:val="16"/>
          </w:rPr>
          <w:fldChar w:fldCharType="separate"/>
        </w:r>
        <w:r w:rsidRPr="006635DC">
          <w:rPr>
            <w:noProof/>
            <w:sz w:val="16"/>
            <w:szCs w:val="16"/>
          </w:rPr>
          <w:t>2</w:t>
        </w:r>
        <w:r w:rsidRPr="006635DC">
          <w:rPr>
            <w:noProof/>
            <w:sz w:val="16"/>
            <w:szCs w:val="16"/>
          </w:rPr>
          <w:fldChar w:fldCharType="end"/>
        </w:r>
        <w:r w:rsidRPr="006635DC">
          <w:rPr>
            <w:noProof/>
            <w:sz w:val="16"/>
            <w:szCs w:val="16"/>
          </w:rPr>
          <w:t xml:space="preserve">    </w:t>
        </w:r>
      </w:p>
      <w:p w14:paraId="6C98BB94" w14:textId="0013D2C2" w:rsidR="0016311F" w:rsidRPr="00254336" w:rsidRDefault="007023CE" w:rsidP="007023CE">
        <w:pPr>
          <w:spacing w:after="0" w:line="240" w:lineRule="auto"/>
          <w:rPr>
            <w:rFonts w:asciiTheme="minorHAnsi" w:hAnsiTheme="minorHAnsi" w:cstheme="minorHAnsi"/>
            <w:sz w:val="16"/>
            <w:szCs w:val="16"/>
          </w:rPr>
        </w:pPr>
        <w:r w:rsidRPr="007023CE">
          <w:rPr>
            <w:b/>
            <w:bCs/>
            <w:noProof/>
            <w:sz w:val="16"/>
            <w:szCs w:val="16"/>
          </w:rPr>
          <w:t xml:space="preserve">05 </w:t>
        </w:r>
        <w:r w:rsidR="008B7517" w:rsidRPr="007023CE">
          <w:rPr>
            <w:rFonts w:asciiTheme="minorHAnsi" w:hAnsiTheme="minorHAnsi" w:cstheme="minorHAnsi"/>
            <w:b/>
            <w:bCs/>
            <w:sz w:val="16"/>
            <w:szCs w:val="16"/>
          </w:rPr>
          <w:t xml:space="preserve">Promoting inclusion, </w:t>
        </w:r>
        <w:proofErr w:type="gramStart"/>
        <w:r w:rsidR="008B7517" w:rsidRPr="007023CE">
          <w:rPr>
            <w:rFonts w:asciiTheme="minorHAnsi" w:hAnsiTheme="minorHAnsi" w:cstheme="minorHAnsi"/>
            <w:b/>
            <w:bCs/>
            <w:sz w:val="16"/>
            <w:szCs w:val="16"/>
          </w:rPr>
          <w:t>equality</w:t>
        </w:r>
        <w:proofErr w:type="gramEnd"/>
        <w:r w:rsidR="008B7517" w:rsidRPr="007023CE">
          <w:rPr>
            <w:rFonts w:asciiTheme="minorHAnsi" w:hAnsiTheme="minorHAnsi" w:cstheme="minorHAnsi"/>
            <w:b/>
            <w:bCs/>
            <w:sz w:val="16"/>
            <w:szCs w:val="16"/>
          </w:rPr>
          <w:t xml:space="preserve"> and valuing diversity</w:t>
        </w:r>
        <w:r w:rsidR="008B7517">
          <w:rPr>
            <w:rFonts w:asciiTheme="minorHAnsi" w:hAnsiTheme="minorHAnsi" w:cstheme="minorHAnsi"/>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107C" w14:textId="4A856BE8" w:rsidR="007023CE" w:rsidRDefault="007023CE" w:rsidP="007023CE">
    <w:pPr>
      <w:pStyle w:val="Footer"/>
      <w:rPr>
        <w:rFonts w:asciiTheme="minorHAnsi" w:hAnsiTheme="minorHAnsi" w:cstheme="minorHAnsi"/>
        <w:sz w:val="16"/>
        <w:szCs w:val="16"/>
      </w:rPr>
    </w:pPr>
    <w:r w:rsidRPr="007023CE">
      <w:rPr>
        <w:b/>
        <w:bCs/>
        <w:noProof/>
        <w:sz w:val="16"/>
        <w:szCs w:val="16"/>
      </w:rPr>
      <w:t xml:space="preserve">05 </w:t>
    </w:r>
    <w:r w:rsidRPr="007023CE">
      <w:rPr>
        <w:rFonts w:asciiTheme="minorHAnsi" w:hAnsiTheme="minorHAnsi" w:cstheme="minorHAnsi"/>
        <w:b/>
        <w:bCs/>
        <w:sz w:val="16"/>
        <w:szCs w:val="16"/>
      </w:rPr>
      <w:t xml:space="preserve">Promoting inclusion, </w:t>
    </w:r>
    <w:proofErr w:type="gramStart"/>
    <w:r w:rsidRPr="007023CE">
      <w:rPr>
        <w:rFonts w:asciiTheme="minorHAnsi" w:hAnsiTheme="minorHAnsi" w:cstheme="minorHAnsi"/>
        <w:b/>
        <w:bCs/>
        <w:sz w:val="16"/>
        <w:szCs w:val="16"/>
      </w:rPr>
      <w:t>equality</w:t>
    </w:r>
    <w:proofErr w:type="gramEnd"/>
    <w:r w:rsidRPr="007023CE">
      <w:rPr>
        <w:rFonts w:asciiTheme="minorHAnsi" w:hAnsiTheme="minorHAnsi" w:cstheme="minorHAnsi"/>
        <w:b/>
        <w:bCs/>
        <w:sz w:val="16"/>
        <w:szCs w:val="16"/>
      </w:rPr>
      <w:t xml:space="preserve"> and valuing diversity</w:t>
    </w:r>
    <w:r>
      <w:rPr>
        <w:rFonts w:asciiTheme="minorHAnsi" w:hAnsiTheme="minorHAnsi" w:cstheme="minorHAnsi"/>
        <w:b/>
        <w:bCs/>
        <w:sz w:val="16"/>
        <w:szCs w:val="16"/>
      </w:rPr>
      <w:t xml:space="preserve"> </w:t>
    </w:r>
    <w:r w:rsidRPr="00584DDF">
      <w:rPr>
        <w:rFonts w:cs="Calibri"/>
        <w:i/>
        <w:iCs/>
        <w:sz w:val="16"/>
        <w:szCs w:val="16"/>
      </w:rPr>
      <w:t>Policies &amp; Procedures for the EYFS 2021</w:t>
    </w:r>
    <w:r w:rsidRPr="00584DDF">
      <w:rPr>
        <w:rFonts w:cs="Calibri"/>
        <w:sz w:val="16"/>
        <w:szCs w:val="16"/>
      </w:rPr>
      <w:t xml:space="preserve"> (Early Years Alliance 2021)</w:t>
    </w:r>
    <w:r>
      <w:rPr>
        <w:rFonts w:cs="Calibri"/>
        <w:sz w:val="16"/>
        <w:szCs w:val="16"/>
      </w:rPr>
      <w:t xml:space="preserve">   REVIEWED </w:t>
    </w:r>
    <w:r>
      <w:rPr>
        <w:rFonts w:cs="Calibri"/>
        <w:sz w:val="16"/>
        <w:szCs w:val="16"/>
      </w:rPr>
      <w:fldChar w:fldCharType="begin"/>
    </w:r>
    <w:r>
      <w:rPr>
        <w:rFonts w:cs="Calibri"/>
        <w:sz w:val="16"/>
        <w:szCs w:val="16"/>
      </w:rPr>
      <w:instrText xml:space="preserve"> DATE \@ "dd/MM/yyyy HH:mm" </w:instrText>
    </w:r>
    <w:r>
      <w:rPr>
        <w:rFonts w:cs="Calibri"/>
        <w:sz w:val="16"/>
        <w:szCs w:val="16"/>
      </w:rPr>
      <w:fldChar w:fldCharType="separate"/>
    </w:r>
    <w:r w:rsidR="00D969E8">
      <w:rPr>
        <w:rFonts w:cs="Calibri"/>
        <w:noProof/>
        <w:sz w:val="16"/>
        <w:szCs w:val="16"/>
      </w:rPr>
      <w:t>07/02/2023 13:03</w:t>
    </w:r>
    <w:r>
      <w:rPr>
        <w:rFonts w:cs="Calibri"/>
        <w:sz w:val="16"/>
        <w:szCs w:val="16"/>
      </w:rPr>
      <w:fldChar w:fldCharType="end"/>
    </w:r>
  </w:p>
  <w:p w14:paraId="2F9BEB9F" w14:textId="29CA8CFA"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0BAB02F0" w14:textId="77777777"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3A9C724D" w14:textId="77777777" w:rsidR="00797AEC" w:rsidRPr="0015064D" w:rsidRDefault="00797AEC" w:rsidP="00797AEC">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1E05" w14:textId="77777777" w:rsidR="00061EDE" w:rsidRDefault="00061EDE" w:rsidP="00AB39FC">
      <w:pPr>
        <w:spacing w:after="0" w:line="240" w:lineRule="auto"/>
      </w:pPr>
      <w:r>
        <w:separator/>
      </w:r>
    </w:p>
  </w:footnote>
  <w:footnote w:type="continuationSeparator" w:id="0">
    <w:p w14:paraId="41A52B21" w14:textId="77777777" w:rsidR="00061EDE" w:rsidRDefault="00061EDE" w:rsidP="00AB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B92" w14:textId="1B8CB074" w:rsidR="00AB39FC" w:rsidRPr="000B2218" w:rsidRDefault="000B2218" w:rsidP="000B2218">
    <w:pPr>
      <w:pStyle w:val="Header"/>
    </w:pPr>
    <w:r>
      <w:rPr>
        <w:noProof/>
      </w:rPr>
      <w:drawing>
        <wp:inline distT="0" distB="0" distL="0" distR="0" wp14:anchorId="7F5A03D1" wp14:editId="16939FB6">
          <wp:extent cx="6302375" cy="168084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02375" cy="168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138C0"/>
    <w:multiLevelType w:val="hybridMultilevel"/>
    <w:tmpl w:val="962E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803EF"/>
    <w:multiLevelType w:val="hybridMultilevel"/>
    <w:tmpl w:val="1A3A87D0"/>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B14A3"/>
    <w:multiLevelType w:val="hybridMultilevel"/>
    <w:tmpl w:val="B518C9F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2650F"/>
    <w:multiLevelType w:val="hybridMultilevel"/>
    <w:tmpl w:val="6A4A1C10"/>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B20BE6"/>
    <w:multiLevelType w:val="hybridMultilevel"/>
    <w:tmpl w:val="3EC6945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42393B"/>
    <w:multiLevelType w:val="hybridMultilevel"/>
    <w:tmpl w:val="8030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54607"/>
    <w:multiLevelType w:val="hybridMultilevel"/>
    <w:tmpl w:val="6EE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5521C6"/>
    <w:multiLevelType w:val="hybridMultilevel"/>
    <w:tmpl w:val="56C659F2"/>
    <w:lvl w:ilvl="0" w:tplc="577224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4584D"/>
    <w:multiLevelType w:val="hybridMultilevel"/>
    <w:tmpl w:val="A85C3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B6295"/>
    <w:multiLevelType w:val="hybridMultilevel"/>
    <w:tmpl w:val="972E5386"/>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C6298"/>
    <w:multiLevelType w:val="multilevel"/>
    <w:tmpl w:val="C52A5CA2"/>
    <w:lvl w:ilvl="0">
      <w:start w:val="1"/>
      <w:numFmt w:val="decimalZero"/>
      <w:lvlText w:val="%1"/>
      <w:lvlJc w:val="left"/>
      <w:pPr>
        <w:ind w:left="720" w:hanging="360"/>
      </w:pPr>
      <w:rPr>
        <w:rFonts w:hint="default"/>
      </w:rPr>
    </w:lvl>
    <w:lvl w:ilvl="1">
      <w:start w:val="1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58E739D"/>
    <w:multiLevelType w:val="hybridMultilevel"/>
    <w:tmpl w:val="1AD82772"/>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B335D"/>
    <w:multiLevelType w:val="hybridMultilevel"/>
    <w:tmpl w:val="04BAA766"/>
    <w:lvl w:ilvl="0" w:tplc="0F42D964">
      <w:start w:val="1"/>
      <w:numFmt w:val="bullet"/>
      <w:lvlText w:val="▪"/>
      <w:lvlJc w:val="left"/>
      <w:pPr>
        <w:ind w:left="360" w:hanging="360"/>
      </w:pPr>
      <w:rPr>
        <w:rFonts w:ascii="Calibri" w:hAnsi="Calibri"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982706"/>
    <w:multiLevelType w:val="hybridMultilevel"/>
    <w:tmpl w:val="9B94F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C008F"/>
    <w:multiLevelType w:val="hybridMultilevel"/>
    <w:tmpl w:val="565A1356"/>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589874">
    <w:abstractNumId w:val="17"/>
  </w:num>
  <w:num w:numId="2" w16cid:durableId="491682916">
    <w:abstractNumId w:val="22"/>
  </w:num>
  <w:num w:numId="3" w16cid:durableId="1797135907">
    <w:abstractNumId w:val="15"/>
  </w:num>
  <w:num w:numId="4" w16cid:durableId="521364362">
    <w:abstractNumId w:val="31"/>
  </w:num>
  <w:num w:numId="5" w16cid:durableId="1310599606">
    <w:abstractNumId w:val="12"/>
  </w:num>
  <w:num w:numId="6" w16cid:durableId="178276977">
    <w:abstractNumId w:val="26"/>
  </w:num>
  <w:num w:numId="7" w16cid:durableId="2053772600">
    <w:abstractNumId w:val="6"/>
  </w:num>
  <w:num w:numId="8" w16cid:durableId="609168812">
    <w:abstractNumId w:val="1"/>
  </w:num>
  <w:num w:numId="9" w16cid:durableId="472870330">
    <w:abstractNumId w:val="9"/>
  </w:num>
  <w:num w:numId="10" w16cid:durableId="769813016">
    <w:abstractNumId w:val="8"/>
  </w:num>
  <w:num w:numId="11" w16cid:durableId="145171121">
    <w:abstractNumId w:val="5"/>
  </w:num>
  <w:num w:numId="12" w16cid:durableId="1714386824">
    <w:abstractNumId w:val="7"/>
  </w:num>
  <w:num w:numId="13" w16cid:durableId="1078089317">
    <w:abstractNumId w:val="3"/>
  </w:num>
  <w:num w:numId="14" w16cid:durableId="1456488213">
    <w:abstractNumId w:val="4"/>
  </w:num>
  <w:num w:numId="15" w16cid:durableId="2079277573">
    <w:abstractNumId w:val="11"/>
  </w:num>
  <w:num w:numId="16" w16cid:durableId="1978146244">
    <w:abstractNumId w:val="30"/>
  </w:num>
  <w:num w:numId="17" w16cid:durableId="1204512778">
    <w:abstractNumId w:val="21"/>
  </w:num>
  <w:num w:numId="18" w16cid:durableId="881554886">
    <w:abstractNumId w:val="29"/>
  </w:num>
  <w:num w:numId="19" w16cid:durableId="1212964255">
    <w:abstractNumId w:val="16"/>
  </w:num>
  <w:num w:numId="20" w16cid:durableId="533883148">
    <w:abstractNumId w:val="18"/>
  </w:num>
  <w:num w:numId="21" w16cid:durableId="722215852">
    <w:abstractNumId w:val="10"/>
  </w:num>
  <w:num w:numId="22" w16cid:durableId="1007172593">
    <w:abstractNumId w:val="24"/>
  </w:num>
  <w:num w:numId="23" w16cid:durableId="218395510">
    <w:abstractNumId w:val="0"/>
  </w:num>
  <w:num w:numId="24" w16cid:durableId="1090782642">
    <w:abstractNumId w:val="2"/>
  </w:num>
  <w:num w:numId="25" w16cid:durableId="488450975">
    <w:abstractNumId w:val="28"/>
  </w:num>
  <w:num w:numId="26" w16cid:durableId="1538664727">
    <w:abstractNumId w:val="25"/>
  </w:num>
  <w:num w:numId="27" w16cid:durableId="149488496">
    <w:abstractNumId w:val="23"/>
  </w:num>
  <w:num w:numId="28" w16cid:durableId="1451433554">
    <w:abstractNumId w:val="19"/>
  </w:num>
  <w:num w:numId="29" w16cid:durableId="1343822676">
    <w:abstractNumId w:val="20"/>
  </w:num>
  <w:num w:numId="30" w16cid:durableId="1830242351">
    <w:abstractNumId w:val="13"/>
  </w:num>
  <w:num w:numId="31" w16cid:durableId="138033083">
    <w:abstractNumId w:val="27"/>
  </w:num>
  <w:num w:numId="32" w16cid:durableId="306865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101DB"/>
    <w:rsid w:val="000162F1"/>
    <w:rsid w:val="00020D70"/>
    <w:rsid w:val="00061EDE"/>
    <w:rsid w:val="00072966"/>
    <w:rsid w:val="000B2218"/>
    <w:rsid w:val="00107865"/>
    <w:rsid w:val="0016311F"/>
    <w:rsid w:val="00175769"/>
    <w:rsid w:val="00177428"/>
    <w:rsid w:val="0017778F"/>
    <w:rsid w:val="001D1C0F"/>
    <w:rsid w:val="001E2D0C"/>
    <w:rsid w:val="00254336"/>
    <w:rsid w:val="00295CF9"/>
    <w:rsid w:val="002A0217"/>
    <w:rsid w:val="002A4979"/>
    <w:rsid w:val="002B3500"/>
    <w:rsid w:val="002D1163"/>
    <w:rsid w:val="00302D9F"/>
    <w:rsid w:val="0031753D"/>
    <w:rsid w:val="00333DFA"/>
    <w:rsid w:val="00334455"/>
    <w:rsid w:val="00340A07"/>
    <w:rsid w:val="003B31D5"/>
    <w:rsid w:val="003B5CA3"/>
    <w:rsid w:val="003C63A6"/>
    <w:rsid w:val="003D654C"/>
    <w:rsid w:val="00411021"/>
    <w:rsid w:val="004343A8"/>
    <w:rsid w:val="004420C5"/>
    <w:rsid w:val="00446A6C"/>
    <w:rsid w:val="00446F67"/>
    <w:rsid w:val="00463A14"/>
    <w:rsid w:val="00463CDF"/>
    <w:rsid w:val="00483BC3"/>
    <w:rsid w:val="00486EF2"/>
    <w:rsid w:val="004B61E8"/>
    <w:rsid w:val="005079FB"/>
    <w:rsid w:val="00512914"/>
    <w:rsid w:val="00514B16"/>
    <w:rsid w:val="00517068"/>
    <w:rsid w:val="00531197"/>
    <w:rsid w:val="00557151"/>
    <w:rsid w:val="00587AF8"/>
    <w:rsid w:val="005C01BC"/>
    <w:rsid w:val="005C10D7"/>
    <w:rsid w:val="005D7283"/>
    <w:rsid w:val="00631E7F"/>
    <w:rsid w:val="006635DC"/>
    <w:rsid w:val="006771C7"/>
    <w:rsid w:val="0069719E"/>
    <w:rsid w:val="006B328A"/>
    <w:rsid w:val="006F6FBF"/>
    <w:rsid w:val="00700DBD"/>
    <w:rsid w:val="007023CE"/>
    <w:rsid w:val="007530ED"/>
    <w:rsid w:val="00757486"/>
    <w:rsid w:val="007723BC"/>
    <w:rsid w:val="0077694B"/>
    <w:rsid w:val="00797AEC"/>
    <w:rsid w:val="007B0A37"/>
    <w:rsid w:val="007D7299"/>
    <w:rsid w:val="007D7F3F"/>
    <w:rsid w:val="007F0880"/>
    <w:rsid w:val="007F3F12"/>
    <w:rsid w:val="00833FE6"/>
    <w:rsid w:val="0086356F"/>
    <w:rsid w:val="00875B75"/>
    <w:rsid w:val="00883D59"/>
    <w:rsid w:val="008B7517"/>
    <w:rsid w:val="0094054B"/>
    <w:rsid w:val="009608E0"/>
    <w:rsid w:val="00975C7D"/>
    <w:rsid w:val="009816C7"/>
    <w:rsid w:val="009B1A50"/>
    <w:rsid w:val="00A03732"/>
    <w:rsid w:val="00A429FF"/>
    <w:rsid w:val="00A43216"/>
    <w:rsid w:val="00A57365"/>
    <w:rsid w:val="00A80ECF"/>
    <w:rsid w:val="00A93D75"/>
    <w:rsid w:val="00AA69F2"/>
    <w:rsid w:val="00AB2B94"/>
    <w:rsid w:val="00AB39FC"/>
    <w:rsid w:val="00B22799"/>
    <w:rsid w:val="00B62124"/>
    <w:rsid w:val="00B67AFC"/>
    <w:rsid w:val="00B73459"/>
    <w:rsid w:val="00B76E6F"/>
    <w:rsid w:val="00B923C3"/>
    <w:rsid w:val="00BB0106"/>
    <w:rsid w:val="00C21D03"/>
    <w:rsid w:val="00C72CF8"/>
    <w:rsid w:val="00C840B0"/>
    <w:rsid w:val="00C85417"/>
    <w:rsid w:val="00CE1FBD"/>
    <w:rsid w:val="00D2459B"/>
    <w:rsid w:val="00D26AFC"/>
    <w:rsid w:val="00D457E5"/>
    <w:rsid w:val="00D530EB"/>
    <w:rsid w:val="00D5454B"/>
    <w:rsid w:val="00D6123C"/>
    <w:rsid w:val="00D67C5D"/>
    <w:rsid w:val="00D75AE0"/>
    <w:rsid w:val="00D969E8"/>
    <w:rsid w:val="00D976D7"/>
    <w:rsid w:val="00DD014F"/>
    <w:rsid w:val="00E25637"/>
    <w:rsid w:val="00E54749"/>
    <w:rsid w:val="00E7235D"/>
    <w:rsid w:val="00E92485"/>
    <w:rsid w:val="00E948C6"/>
    <w:rsid w:val="00EE104C"/>
    <w:rsid w:val="00EF2B62"/>
    <w:rsid w:val="00F07ED6"/>
    <w:rsid w:val="00FD146A"/>
    <w:rsid w:val="00FE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DC177"/>
  <w15:chartTrackingRefBased/>
  <w15:docId w15:val="{0BB35337-6596-4C47-8036-93EC1CA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4B"/>
    <w:rPr>
      <w:rFonts w:ascii="Calibri" w:eastAsia="Times New Roman" w:hAnsi="Calibri" w:cs="Times New Roman"/>
    </w:rPr>
  </w:style>
  <w:style w:type="paragraph" w:styleId="Heading1">
    <w:name w:val="heading 1"/>
    <w:basedOn w:val="Normal"/>
    <w:next w:val="Normal"/>
    <w:link w:val="Heading1Char"/>
    <w:qFormat/>
    <w:rsid w:val="00517068"/>
    <w:pPr>
      <w:keepNext/>
      <w:spacing w:before="240" w:after="60" w:line="240" w:lineRule="auto"/>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517068"/>
    <w:pPr>
      <w:keepNext/>
      <w:keepLines/>
      <w:spacing w:before="200" w:after="0" w:line="240" w:lineRule="auto"/>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FC"/>
  </w:style>
  <w:style w:type="paragraph" w:styleId="Footer">
    <w:name w:val="footer"/>
    <w:basedOn w:val="Normal"/>
    <w:link w:val="FooterChar"/>
    <w:uiPriority w:val="99"/>
    <w:unhideWhenUsed/>
    <w:rsid w:val="00AB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FC"/>
  </w:style>
  <w:style w:type="paragraph" w:styleId="ListParagraph">
    <w:name w:val="List Paragraph"/>
    <w:basedOn w:val="Normal"/>
    <w:uiPriority w:val="34"/>
    <w:qFormat/>
    <w:rsid w:val="0094054B"/>
    <w:pPr>
      <w:ind w:left="720"/>
      <w:contextualSpacing/>
    </w:pPr>
  </w:style>
  <w:style w:type="character" w:styleId="Hyperlink">
    <w:name w:val="Hyperlink"/>
    <w:basedOn w:val="DefaultParagraphFont"/>
    <w:uiPriority w:val="99"/>
    <w:unhideWhenUsed/>
    <w:rsid w:val="004420C5"/>
    <w:rPr>
      <w:color w:val="0563C1" w:themeColor="hyperlink"/>
      <w:u w:val="single"/>
    </w:rPr>
  </w:style>
  <w:style w:type="character" w:customStyle="1" w:styleId="Heading1Char">
    <w:name w:val="Heading 1 Char"/>
    <w:basedOn w:val="DefaultParagraphFont"/>
    <w:link w:val="Heading1"/>
    <w:rsid w:val="00517068"/>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17068"/>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3A09E-6EE9-D14F-B417-090A7233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8</cp:revision>
  <cp:lastPrinted>2022-11-25T11:42:00Z</cp:lastPrinted>
  <dcterms:created xsi:type="dcterms:W3CDTF">2022-11-25T11:42:00Z</dcterms:created>
  <dcterms:modified xsi:type="dcterms:W3CDTF">2023-02-07T13:03:00Z</dcterms:modified>
</cp:coreProperties>
</file>